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7DF2" w14:textId="5F2495CA" w:rsidR="00D154A6" w:rsidRPr="00D154A6" w:rsidRDefault="00D154A6" w:rsidP="00D154A6">
      <w:pPr>
        <w:spacing w:before="240" w:after="60" w:line="240" w:lineRule="auto"/>
        <w:jc w:val="both"/>
        <w:outlineLvl w:val="0"/>
        <w:rPr>
          <w:rFonts w:ascii="Calibri Light" w:eastAsia="Times New Roman" w:hAnsi="Calibri Light" w:cs="Times New Roman"/>
          <w:b/>
          <w:bCs/>
          <w:kern w:val="28"/>
          <w:sz w:val="32"/>
          <w:szCs w:val="32"/>
        </w:rPr>
      </w:pPr>
      <w:bookmarkStart w:id="0" w:name="_Toc501044035"/>
      <w:bookmarkStart w:id="1" w:name="_Toc501045322"/>
      <w:bookmarkStart w:id="2" w:name="_Toc517951900"/>
      <w:bookmarkStart w:id="3" w:name="_GoBack"/>
      <w:bookmarkEnd w:id="3"/>
      <w:r w:rsidRPr="00D154A6">
        <w:rPr>
          <w:rFonts w:ascii="Calibri Light" w:eastAsia="Times New Roman" w:hAnsi="Calibri Light" w:cs="Times New Roman"/>
          <w:b/>
          <w:bCs/>
          <w:kern w:val="28"/>
          <w:sz w:val="32"/>
          <w:szCs w:val="32"/>
        </w:rPr>
        <w:t>Supporting doctors who undertake a low volume of General Practice clinical work.</w:t>
      </w:r>
      <w:bookmarkEnd w:id="0"/>
      <w:bookmarkEnd w:id="1"/>
      <w:bookmarkEnd w:id="2"/>
    </w:p>
    <w:p w14:paraId="29C111A8" w14:textId="13AACFFD" w:rsidR="00D154A6" w:rsidRDefault="00D154A6" w:rsidP="00D154A6">
      <w:pPr>
        <w:rPr>
          <w:rFonts w:ascii="Calibri Light" w:eastAsia="Times New Roman" w:hAnsi="Calibri Light" w:cs="Times New Roman"/>
          <w:b/>
          <w:color w:val="2E74B5"/>
          <w:sz w:val="32"/>
          <w:szCs w:val="32"/>
          <w:lang w:val="en-US"/>
        </w:rPr>
      </w:pPr>
    </w:p>
    <w:p w14:paraId="1AF9DA34" w14:textId="5A4236B0" w:rsidR="0063461A" w:rsidRPr="0063461A" w:rsidRDefault="0063461A" w:rsidP="0063461A">
      <w:pPr>
        <w:rPr>
          <w:rFonts w:cstheme="minorHAnsi"/>
          <w:b/>
          <w:sz w:val="24"/>
          <w:szCs w:val="24"/>
          <w:lang w:val="en-US"/>
        </w:rPr>
      </w:pPr>
      <w:r w:rsidRPr="0063461A">
        <w:rPr>
          <w:rFonts w:cstheme="minorHAnsi"/>
          <w:b/>
          <w:sz w:val="24"/>
          <w:szCs w:val="24"/>
          <w:lang w:val="en-US"/>
        </w:rPr>
        <w:t>Structured Reflective Template</w:t>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t>2</w:t>
      </w:r>
    </w:p>
    <w:p w14:paraId="0DB3FBC7" w14:textId="6025908D" w:rsidR="0063461A" w:rsidRPr="0063461A" w:rsidRDefault="0063461A" w:rsidP="0063461A">
      <w:pPr>
        <w:rPr>
          <w:rFonts w:cstheme="minorHAnsi"/>
          <w:b/>
          <w:sz w:val="24"/>
          <w:szCs w:val="24"/>
          <w:lang w:val="en-US"/>
        </w:rPr>
      </w:pPr>
      <w:r w:rsidRPr="0063461A">
        <w:rPr>
          <w:rFonts w:cstheme="minorHAnsi"/>
          <w:b/>
          <w:sz w:val="24"/>
          <w:szCs w:val="24"/>
          <w:lang w:val="en-US"/>
        </w:rPr>
        <w:t>Overview</w:t>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t>4</w:t>
      </w:r>
    </w:p>
    <w:p w14:paraId="0FBADA4D" w14:textId="2202931B" w:rsidR="0063461A" w:rsidRPr="0063461A" w:rsidRDefault="0063461A" w:rsidP="0063461A">
      <w:pPr>
        <w:rPr>
          <w:rFonts w:cstheme="minorHAnsi"/>
          <w:b/>
          <w:sz w:val="24"/>
          <w:szCs w:val="24"/>
          <w:lang w:val="en-US"/>
        </w:rPr>
      </w:pPr>
      <w:r w:rsidRPr="0063461A">
        <w:rPr>
          <w:rFonts w:cstheme="minorHAnsi"/>
          <w:b/>
          <w:sz w:val="24"/>
          <w:szCs w:val="24"/>
          <w:lang w:val="en-US"/>
        </w:rPr>
        <w:t>The professional responsibilities of a doctor</w:t>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r>
      <w:r w:rsidRPr="0063461A">
        <w:rPr>
          <w:rFonts w:cstheme="minorHAnsi"/>
          <w:b/>
          <w:sz w:val="24"/>
          <w:szCs w:val="24"/>
          <w:lang w:val="en-US"/>
        </w:rPr>
        <w:tab/>
        <w:t>4</w:t>
      </w:r>
    </w:p>
    <w:p w14:paraId="0A8EDA3C" w14:textId="02375055" w:rsidR="0063461A" w:rsidRPr="0063461A" w:rsidRDefault="0063461A" w:rsidP="0063461A">
      <w:pPr>
        <w:rPr>
          <w:rFonts w:cstheme="minorHAnsi"/>
          <w:b/>
          <w:bCs/>
          <w:sz w:val="24"/>
          <w:szCs w:val="24"/>
          <w:lang w:val="en-US"/>
        </w:rPr>
      </w:pPr>
      <w:r w:rsidRPr="0063461A">
        <w:rPr>
          <w:rFonts w:eastAsiaTheme="majorEastAsia" w:cstheme="minorHAnsi"/>
          <w:b/>
          <w:bCs/>
          <w:sz w:val="24"/>
          <w:szCs w:val="24"/>
        </w:rPr>
        <w:t xml:space="preserve">Why define a threshold for low volume of clinical work? </w:t>
      </w:r>
      <w:r>
        <w:rPr>
          <w:rFonts w:eastAsiaTheme="majorEastAsia" w:cstheme="minorHAnsi"/>
          <w:b/>
          <w:bCs/>
          <w:sz w:val="24"/>
          <w:szCs w:val="24"/>
        </w:rPr>
        <w:tab/>
      </w:r>
      <w:r>
        <w:rPr>
          <w:rFonts w:eastAsiaTheme="majorEastAsia" w:cstheme="minorHAnsi"/>
          <w:b/>
          <w:bCs/>
          <w:sz w:val="24"/>
          <w:szCs w:val="24"/>
        </w:rPr>
        <w:tab/>
      </w:r>
      <w:r>
        <w:rPr>
          <w:rFonts w:eastAsiaTheme="majorEastAsia" w:cstheme="minorHAnsi"/>
          <w:b/>
          <w:bCs/>
          <w:sz w:val="24"/>
          <w:szCs w:val="24"/>
        </w:rPr>
        <w:tab/>
      </w:r>
      <w:r>
        <w:rPr>
          <w:rFonts w:eastAsiaTheme="majorEastAsia" w:cstheme="minorHAnsi"/>
          <w:b/>
          <w:bCs/>
          <w:sz w:val="24"/>
          <w:szCs w:val="24"/>
        </w:rPr>
        <w:tab/>
      </w:r>
      <w:r>
        <w:rPr>
          <w:rFonts w:eastAsiaTheme="majorEastAsia" w:cstheme="minorHAnsi"/>
          <w:b/>
          <w:bCs/>
          <w:sz w:val="24"/>
          <w:szCs w:val="24"/>
        </w:rPr>
        <w:tab/>
        <w:t>5</w:t>
      </w:r>
    </w:p>
    <w:p w14:paraId="6838B1D4" w14:textId="337B160B" w:rsidR="0063461A" w:rsidRPr="0063461A" w:rsidRDefault="0063461A" w:rsidP="0063461A">
      <w:pPr>
        <w:rPr>
          <w:rFonts w:eastAsiaTheme="majorEastAsia" w:cstheme="minorHAnsi"/>
          <w:b/>
          <w:bCs/>
          <w:sz w:val="24"/>
          <w:szCs w:val="24"/>
        </w:rPr>
      </w:pPr>
      <w:r w:rsidRPr="0063461A">
        <w:rPr>
          <w:rFonts w:eastAsiaTheme="majorEastAsia" w:cstheme="minorHAnsi"/>
          <w:b/>
          <w:bCs/>
          <w:sz w:val="24"/>
          <w:szCs w:val="24"/>
        </w:rPr>
        <w:t>A consistent, tra</w:t>
      </w:r>
      <w:r>
        <w:rPr>
          <w:rFonts w:eastAsiaTheme="majorEastAsia" w:cstheme="minorHAnsi"/>
          <w:b/>
          <w:bCs/>
          <w:sz w:val="24"/>
          <w:szCs w:val="24"/>
        </w:rPr>
        <w:t>nsparent and supportive approach</w:t>
      </w:r>
      <w:r>
        <w:rPr>
          <w:rFonts w:eastAsiaTheme="majorEastAsia" w:cstheme="minorHAnsi"/>
          <w:b/>
          <w:bCs/>
          <w:sz w:val="24"/>
          <w:szCs w:val="24"/>
        </w:rPr>
        <w:tab/>
      </w:r>
      <w:r>
        <w:rPr>
          <w:rFonts w:eastAsiaTheme="majorEastAsia" w:cstheme="minorHAnsi"/>
          <w:b/>
          <w:bCs/>
          <w:sz w:val="24"/>
          <w:szCs w:val="24"/>
        </w:rPr>
        <w:tab/>
      </w:r>
      <w:r>
        <w:rPr>
          <w:rFonts w:eastAsiaTheme="majorEastAsia" w:cstheme="minorHAnsi"/>
          <w:b/>
          <w:bCs/>
          <w:sz w:val="24"/>
          <w:szCs w:val="24"/>
        </w:rPr>
        <w:tab/>
      </w:r>
      <w:r>
        <w:rPr>
          <w:rFonts w:eastAsiaTheme="majorEastAsia" w:cstheme="minorHAnsi"/>
          <w:b/>
          <w:bCs/>
          <w:sz w:val="24"/>
          <w:szCs w:val="24"/>
        </w:rPr>
        <w:tab/>
        <w:t xml:space="preserve">             5</w:t>
      </w:r>
    </w:p>
    <w:p w14:paraId="620AF465" w14:textId="68CDD1E9" w:rsidR="0063461A" w:rsidRPr="0063461A" w:rsidRDefault="0063461A" w:rsidP="0063461A">
      <w:pPr>
        <w:rPr>
          <w:rFonts w:eastAsiaTheme="majorEastAsia" w:cstheme="minorHAnsi"/>
          <w:b/>
          <w:bCs/>
          <w:sz w:val="24"/>
          <w:szCs w:val="24"/>
          <w:lang w:val="en-US"/>
        </w:rPr>
      </w:pPr>
      <w:r w:rsidRPr="0063461A">
        <w:rPr>
          <w:rFonts w:eastAsiaTheme="majorEastAsia" w:cstheme="minorHAnsi"/>
          <w:b/>
          <w:bCs/>
          <w:sz w:val="24"/>
          <w:szCs w:val="24"/>
          <w:lang w:val="en-US"/>
        </w:rPr>
        <w:t>Use of the low volume of clinical work SRT in annual appraisal</w:t>
      </w:r>
      <w:r>
        <w:rPr>
          <w:rFonts w:eastAsiaTheme="majorEastAsia" w:cstheme="minorHAnsi"/>
          <w:b/>
          <w:bCs/>
          <w:sz w:val="24"/>
          <w:szCs w:val="24"/>
          <w:lang w:val="en-US"/>
        </w:rPr>
        <w:tab/>
      </w:r>
      <w:r>
        <w:rPr>
          <w:rFonts w:eastAsiaTheme="majorEastAsia" w:cstheme="minorHAnsi"/>
          <w:b/>
          <w:bCs/>
          <w:sz w:val="24"/>
          <w:szCs w:val="24"/>
          <w:lang w:val="en-US"/>
        </w:rPr>
        <w:tab/>
      </w:r>
      <w:r>
        <w:rPr>
          <w:rFonts w:eastAsiaTheme="majorEastAsia" w:cstheme="minorHAnsi"/>
          <w:b/>
          <w:bCs/>
          <w:sz w:val="24"/>
          <w:szCs w:val="24"/>
          <w:lang w:val="en-US"/>
        </w:rPr>
        <w:tab/>
      </w:r>
      <w:r>
        <w:rPr>
          <w:rFonts w:eastAsiaTheme="majorEastAsia" w:cstheme="minorHAnsi"/>
          <w:b/>
          <w:bCs/>
          <w:sz w:val="24"/>
          <w:szCs w:val="24"/>
          <w:lang w:val="en-US"/>
        </w:rPr>
        <w:tab/>
        <w:t>5</w:t>
      </w:r>
    </w:p>
    <w:p w14:paraId="594EB37C" w14:textId="306CD55E" w:rsidR="0063461A" w:rsidRPr="0063461A" w:rsidRDefault="0063461A" w:rsidP="0063461A">
      <w:pPr>
        <w:rPr>
          <w:rFonts w:eastAsiaTheme="majorEastAsia" w:cstheme="minorHAnsi"/>
          <w:b/>
          <w:bCs/>
          <w:sz w:val="24"/>
          <w:szCs w:val="24"/>
          <w:lang w:val="en-US"/>
        </w:rPr>
      </w:pPr>
      <w:r w:rsidRPr="0063461A">
        <w:rPr>
          <w:rFonts w:eastAsiaTheme="majorEastAsia" w:cstheme="minorHAnsi"/>
          <w:b/>
          <w:bCs/>
          <w:sz w:val="24"/>
          <w:szCs w:val="24"/>
          <w:lang w:val="en-US"/>
        </w:rPr>
        <w:t>The factors to consider in the low volume of clinical work SRT</w:t>
      </w:r>
      <w:r>
        <w:rPr>
          <w:rFonts w:eastAsiaTheme="majorEastAsia" w:cstheme="minorHAnsi"/>
          <w:b/>
          <w:bCs/>
          <w:sz w:val="24"/>
          <w:szCs w:val="24"/>
          <w:lang w:val="en-US"/>
        </w:rPr>
        <w:tab/>
      </w:r>
      <w:r>
        <w:rPr>
          <w:rFonts w:eastAsiaTheme="majorEastAsia" w:cstheme="minorHAnsi"/>
          <w:b/>
          <w:bCs/>
          <w:sz w:val="24"/>
          <w:szCs w:val="24"/>
          <w:lang w:val="en-US"/>
        </w:rPr>
        <w:tab/>
      </w:r>
      <w:r>
        <w:rPr>
          <w:rFonts w:eastAsiaTheme="majorEastAsia" w:cstheme="minorHAnsi"/>
          <w:b/>
          <w:bCs/>
          <w:sz w:val="24"/>
          <w:szCs w:val="24"/>
          <w:lang w:val="en-US"/>
        </w:rPr>
        <w:tab/>
      </w:r>
      <w:r>
        <w:rPr>
          <w:rFonts w:eastAsiaTheme="majorEastAsia" w:cstheme="minorHAnsi"/>
          <w:b/>
          <w:bCs/>
          <w:sz w:val="24"/>
          <w:szCs w:val="24"/>
          <w:lang w:val="en-US"/>
        </w:rPr>
        <w:tab/>
        <w:t>6</w:t>
      </w:r>
    </w:p>
    <w:p w14:paraId="44717982" w14:textId="77777777" w:rsidR="0063461A" w:rsidRPr="00D154A6" w:rsidRDefault="0063461A" w:rsidP="00D154A6"/>
    <w:p w14:paraId="6ECF3478" w14:textId="77777777" w:rsidR="00D154A6" w:rsidRPr="00D154A6" w:rsidRDefault="00D154A6" w:rsidP="00D154A6">
      <w:pPr>
        <w:jc w:val="both"/>
      </w:pPr>
    </w:p>
    <w:p w14:paraId="21726321" w14:textId="77777777" w:rsidR="00D00F71" w:rsidRDefault="00D00F71">
      <w:pPr>
        <w:rPr>
          <w:rFonts w:ascii="Arial" w:eastAsiaTheme="majorEastAsia" w:hAnsi="Arial" w:cs="Arial"/>
          <w:b/>
          <w:bCs/>
          <w:color w:val="0070C0"/>
          <w:sz w:val="24"/>
          <w:szCs w:val="28"/>
        </w:rPr>
      </w:pPr>
      <w:r>
        <w:rPr>
          <w:rFonts w:ascii="Arial" w:eastAsiaTheme="majorEastAsia" w:hAnsi="Arial" w:cs="Arial"/>
          <w:b/>
          <w:bCs/>
          <w:color w:val="0070C0"/>
          <w:sz w:val="24"/>
          <w:szCs w:val="28"/>
        </w:rPr>
        <w:br w:type="page"/>
      </w:r>
    </w:p>
    <w:p w14:paraId="1E3526ED" w14:textId="77777777" w:rsidR="0063461A" w:rsidRPr="008B26B8" w:rsidRDefault="0063461A" w:rsidP="0063461A">
      <w:pPr>
        <w:jc w:val="both"/>
        <w:rPr>
          <w:rFonts w:ascii="Arial" w:eastAsiaTheme="majorEastAsia" w:hAnsi="Arial" w:cs="Arial"/>
          <w:b/>
          <w:bCs/>
          <w:color w:val="4F81BD" w:themeColor="accent1"/>
          <w:sz w:val="24"/>
          <w:szCs w:val="24"/>
          <w:lang w:val="en-US"/>
        </w:rPr>
      </w:pPr>
      <w:bookmarkStart w:id="4" w:name="_Toc501044043"/>
      <w:bookmarkStart w:id="5" w:name="_Toc501045338"/>
      <w:bookmarkStart w:id="6" w:name="_Toc504589792"/>
      <w:r>
        <w:rPr>
          <w:rFonts w:ascii="Arial" w:eastAsiaTheme="majorEastAsia" w:hAnsi="Arial" w:cs="Arial"/>
          <w:b/>
          <w:bCs/>
          <w:color w:val="4F81BD" w:themeColor="accent1"/>
          <w:sz w:val="24"/>
          <w:szCs w:val="24"/>
          <w:lang w:val="en-US"/>
        </w:rPr>
        <w:lastRenderedPageBreak/>
        <w:t>Low Volume of Clinical Work Structured Reflective T</w:t>
      </w:r>
      <w:r w:rsidRPr="008B26B8">
        <w:rPr>
          <w:rFonts w:ascii="Arial" w:eastAsiaTheme="majorEastAsia" w:hAnsi="Arial" w:cs="Arial"/>
          <w:b/>
          <w:bCs/>
          <w:color w:val="4F81BD" w:themeColor="accent1"/>
          <w:sz w:val="24"/>
          <w:szCs w:val="24"/>
          <w:lang w:val="en-US"/>
        </w:rPr>
        <w:t xml:space="preserve">emplate </w:t>
      </w:r>
      <w:bookmarkEnd w:id="4"/>
      <w:bookmarkEnd w:id="5"/>
      <w:bookmarkEnd w:id="6"/>
    </w:p>
    <w:p w14:paraId="7823177A" w14:textId="77777777" w:rsidR="0063461A" w:rsidRPr="00D154A6" w:rsidRDefault="0063461A" w:rsidP="0063461A">
      <w:pPr>
        <w:shd w:val="clear" w:color="auto" w:fill="FFFFFF"/>
        <w:jc w:val="both"/>
      </w:pPr>
      <w:r w:rsidRPr="00D154A6">
        <w:t>The aim of th</w:t>
      </w:r>
      <w:r>
        <w:t>is</w:t>
      </w:r>
      <w:r w:rsidRPr="00D154A6">
        <w:t xml:space="preserve"> tool is to allow you to demonstrate with confidence that you are safe, up to date and fit to practise </w:t>
      </w:r>
      <w:r>
        <w:t>in your clinical role(s). You should use this tool</w:t>
      </w:r>
      <w:r w:rsidRPr="00D154A6">
        <w:t xml:space="preserve"> </w:t>
      </w:r>
      <w:r>
        <w:t>where you do a low volume of GP clinical work (defined as less than 40 sessions per twelve months) but you may use this tool even if you do more than 40 sessions if you find it helpful</w:t>
      </w:r>
      <w:r w:rsidRPr="00D154A6">
        <w:t xml:space="preserve">.  The tool highlights areas of risk and </w:t>
      </w:r>
      <w:r>
        <w:t>asks you to consider ways to</w:t>
      </w:r>
      <w:r w:rsidRPr="00D154A6">
        <w:t xml:space="preserve"> mitigat</w:t>
      </w:r>
      <w:r>
        <w:t xml:space="preserve">e </w:t>
      </w:r>
      <w:r w:rsidRPr="00D154A6">
        <w:t xml:space="preserve">those risks.  </w:t>
      </w:r>
      <w:r>
        <w:t>Further guidance may be available from your RO, the RCGP, the BMA and the GMC.</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4678"/>
        <w:gridCol w:w="4252"/>
      </w:tblGrid>
      <w:tr w:rsidR="0063461A" w:rsidRPr="00D154A6" w14:paraId="73D822B2" w14:textId="77777777" w:rsidTr="00094956">
        <w:trPr>
          <w:jc w:val="center"/>
        </w:trPr>
        <w:tc>
          <w:tcPr>
            <w:tcW w:w="1589" w:type="dxa"/>
            <w:shd w:val="clear" w:color="auto" w:fill="FFFFFF"/>
          </w:tcPr>
          <w:p w14:paraId="7548AB2A" w14:textId="77777777" w:rsidR="0063461A" w:rsidRPr="0008782C" w:rsidRDefault="0063461A" w:rsidP="00094956">
            <w:pPr>
              <w:shd w:val="clear" w:color="auto" w:fill="FFFFFF"/>
              <w:rPr>
                <w:b/>
              </w:rPr>
            </w:pPr>
          </w:p>
        </w:tc>
        <w:tc>
          <w:tcPr>
            <w:tcW w:w="4678" w:type="dxa"/>
            <w:shd w:val="clear" w:color="auto" w:fill="FFFFFF"/>
          </w:tcPr>
          <w:p w14:paraId="7FDB503B" w14:textId="77777777" w:rsidR="0063461A" w:rsidRPr="0008782C" w:rsidRDefault="0063461A" w:rsidP="00094956">
            <w:pPr>
              <w:pStyle w:val="NoSpacing"/>
              <w:rPr>
                <w:b/>
              </w:rPr>
            </w:pPr>
            <w:r w:rsidRPr="0008782C">
              <w:rPr>
                <w:b/>
              </w:rPr>
              <w:t>Factors affecting the perception of potential risk to patients for each scope of practice</w:t>
            </w:r>
          </w:p>
        </w:tc>
        <w:tc>
          <w:tcPr>
            <w:tcW w:w="4252" w:type="dxa"/>
            <w:shd w:val="clear" w:color="auto" w:fill="FFFFFF"/>
          </w:tcPr>
          <w:p w14:paraId="1BA1EFE1" w14:textId="77777777" w:rsidR="0063461A" w:rsidRPr="0008782C" w:rsidRDefault="0063461A" w:rsidP="00094956">
            <w:pPr>
              <w:pStyle w:val="NoSpacing"/>
              <w:rPr>
                <w:b/>
              </w:rPr>
            </w:pPr>
            <w:r w:rsidRPr="0008782C">
              <w:rPr>
                <w:b/>
              </w:rPr>
              <w:t>Appraisee comments /</w:t>
            </w:r>
          </w:p>
          <w:p w14:paraId="2E7C5BBD" w14:textId="77777777" w:rsidR="0063461A" w:rsidRPr="0008782C" w:rsidRDefault="0063461A" w:rsidP="00094956">
            <w:pPr>
              <w:pStyle w:val="NoSpacing"/>
              <w:rPr>
                <w:b/>
              </w:rPr>
            </w:pPr>
            <w:r w:rsidRPr="0008782C">
              <w:rPr>
                <w:b/>
              </w:rPr>
              <w:t>narrative</w:t>
            </w:r>
          </w:p>
        </w:tc>
      </w:tr>
      <w:tr w:rsidR="0063461A" w:rsidRPr="00D154A6" w14:paraId="4050D8AD" w14:textId="77777777" w:rsidTr="00094956">
        <w:trPr>
          <w:jc w:val="center"/>
        </w:trPr>
        <w:tc>
          <w:tcPr>
            <w:tcW w:w="1589" w:type="dxa"/>
            <w:shd w:val="clear" w:color="auto" w:fill="FFFFFF"/>
          </w:tcPr>
          <w:p w14:paraId="45B7F9FB" w14:textId="77777777" w:rsidR="0063461A" w:rsidRPr="0008782C" w:rsidRDefault="0063461A" w:rsidP="00094956">
            <w:pPr>
              <w:pStyle w:val="NoSpacing"/>
              <w:rPr>
                <w:b/>
              </w:rPr>
            </w:pPr>
            <w:r w:rsidRPr="0008782C">
              <w:rPr>
                <w:b/>
              </w:rPr>
              <w:t>Volume</w:t>
            </w:r>
          </w:p>
        </w:tc>
        <w:tc>
          <w:tcPr>
            <w:tcW w:w="4678" w:type="dxa"/>
            <w:shd w:val="clear" w:color="auto" w:fill="FFFFFF"/>
          </w:tcPr>
          <w:p w14:paraId="3DFDDAA4" w14:textId="77777777" w:rsidR="0063461A" w:rsidRDefault="0063461A" w:rsidP="00094956">
            <w:pPr>
              <w:pStyle w:val="NoSpacing"/>
            </w:pPr>
            <w:r w:rsidRPr="00D154A6">
              <w:t>How many sessions of clinical work have you done over the last 12 consecutive months of clinical practice</w:t>
            </w:r>
            <w:r>
              <w:t xml:space="preserve"> (or the period since your last appraisal)? </w:t>
            </w:r>
          </w:p>
          <w:p w14:paraId="4EB991DB" w14:textId="77777777" w:rsidR="0063461A" w:rsidRPr="00D154A6" w:rsidRDefault="0063461A" w:rsidP="00094956">
            <w:pPr>
              <w:pStyle w:val="NoSpacing"/>
            </w:pPr>
            <w:r w:rsidRPr="00D154A6">
              <w:t xml:space="preserve">Exclude any significant breaks like maternity or sick leave. </w:t>
            </w:r>
          </w:p>
        </w:tc>
        <w:tc>
          <w:tcPr>
            <w:tcW w:w="4252" w:type="dxa"/>
            <w:shd w:val="clear" w:color="auto" w:fill="FFFFFF"/>
          </w:tcPr>
          <w:p w14:paraId="401D54F4" w14:textId="77777777" w:rsidR="0063461A" w:rsidRPr="00D154A6" w:rsidRDefault="0063461A" w:rsidP="00094956">
            <w:pPr>
              <w:pStyle w:val="NoSpacing"/>
            </w:pPr>
          </w:p>
        </w:tc>
      </w:tr>
      <w:tr w:rsidR="0063461A" w:rsidRPr="00D154A6" w14:paraId="3A53D6E2" w14:textId="77777777" w:rsidTr="00094956">
        <w:trPr>
          <w:jc w:val="center"/>
        </w:trPr>
        <w:tc>
          <w:tcPr>
            <w:tcW w:w="1589" w:type="dxa"/>
            <w:shd w:val="clear" w:color="auto" w:fill="FFFFFF"/>
          </w:tcPr>
          <w:p w14:paraId="78953BFC" w14:textId="77777777" w:rsidR="0063461A" w:rsidRPr="0008782C" w:rsidRDefault="0063461A" w:rsidP="00094956">
            <w:pPr>
              <w:pStyle w:val="NoSpacing"/>
              <w:rPr>
                <w:b/>
              </w:rPr>
            </w:pPr>
            <w:r w:rsidRPr="0008782C">
              <w:rPr>
                <w:b/>
              </w:rPr>
              <w:t>Spread</w:t>
            </w:r>
          </w:p>
        </w:tc>
        <w:tc>
          <w:tcPr>
            <w:tcW w:w="4678" w:type="dxa"/>
            <w:shd w:val="clear" w:color="auto" w:fill="FFFFFF"/>
          </w:tcPr>
          <w:p w14:paraId="102B3C45" w14:textId="77777777" w:rsidR="0063461A" w:rsidRDefault="0063461A" w:rsidP="00094956">
            <w:pPr>
              <w:pStyle w:val="NoSpacing"/>
            </w:pPr>
            <w:r w:rsidRPr="00D154A6">
              <w:t xml:space="preserve">Is your clinical work evenly spread throughout the year or do you regularly have significant breaks (e.g. &gt;6 weeks)? </w:t>
            </w:r>
          </w:p>
          <w:p w14:paraId="65B3D125" w14:textId="77777777" w:rsidR="0063461A" w:rsidRPr="00D154A6" w:rsidRDefault="0063461A" w:rsidP="00094956">
            <w:pPr>
              <w:pStyle w:val="NoSpacing"/>
            </w:pPr>
            <w:r>
              <w:t>P</w:t>
            </w:r>
            <w:r w:rsidRPr="00D154A6">
              <w:t>l</w:t>
            </w:r>
            <w:r>
              <w:t>ease describe your arrangements</w:t>
            </w:r>
          </w:p>
        </w:tc>
        <w:tc>
          <w:tcPr>
            <w:tcW w:w="4252" w:type="dxa"/>
            <w:shd w:val="clear" w:color="auto" w:fill="FFFFFF"/>
          </w:tcPr>
          <w:p w14:paraId="3E6B6D7B" w14:textId="77777777" w:rsidR="0063461A" w:rsidRPr="00D154A6" w:rsidRDefault="0063461A" w:rsidP="00094956">
            <w:pPr>
              <w:pStyle w:val="NoSpacing"/>
            </w:pPr>
          </w:p>
        </w:tc>
      </w:tr>
      <w:tr w:rsidR="0063461A" w:rsidRPr="00D154A6" w14:paraId="1CFD0959" w14:textId="77777777" w:rsidTr="00094956">
        <w:trPr>
          <w:jc w:val="center"/>
        </w:trPr>
        <w:tc>
          <w:tcPr>
            <w:tcW w:w="1589" w:type="dxa"/>
            <w:shd w:val="clear" w:color="auto" w:fill="FFFFFF"/>
          </w:tcPr>
          <w:p w14:paraId="3D6775B7" w14:textId="77777777" w:rsidR="0063461A" w:rsidRPr="0008782C" w:rsidRDefault="0063461A" w:rsidP="00094956">
            <w:pPr>
              <w:pStyle w:val="NoSpacing"/>
              <w:rPr>
                <w:b/>
              </w:rPr>
            </w:pPr>
            <w:r w:rsidRPr="0008782C">
              <w:rPr>
                <w:b/>
              </w:rPr>
              <w:t>Previous Experience</w:t>
            </w:r>
          </w:p>
        </w:tc>
        <w:tc>
          <w:tcPr>
            <w:tcW w:w="4678" w:type="dxa"/>
            <w:shd w:val="clear" w:color="auto" w:fill="FFFFFF"/>
          </w:tcPr>
          <w:p w14:paraId="451BD09C" w14:textId="77777777" w:rsidR="0063461A" w:rsidRDefault="0063461A" w:rsidP="00094956">
            <w:pPr>
              <w:pStyle w:val="NoSpacing"/>
            </w:pPr>
            <w:r w:rsidRPr="00D154A6">
              <w:t xml:space="preserve">How long have you been working as a qualified GP? </w:t>
            </w:r>
            <w:r>
              <w:t>What previous experience do you have?</w:t>
            </w:r>
          </w:p>
          <w:p w14:paraId="571ED66C" w14:textId="77777777" w:rsidR="0063461A" w:rsidRPr="00D154A6" w:rsidRDefault="0063461A" w:rsidP="00094956">
            <w:pPr>
              <w:pStyle w:val="NoSpacing"/>
            </w:pPr>
          </w:p>
        </w:tc>
        <w:tc>
          <w:tcPr>
            <w:tcW w:w="4252" w:type="dxa"/>
            <w:shd w:val="clear" w:color="auto" w:fill="FFFFFF"/>
          </w:tcPr>
          <w:p w14:paraId="5514E0B3" w14:textId="77777777" w:rsidR="0063461A" w:rsidRPr="00D154A6" w:rsidRDefault="0063461A" w:rsidP="00094956">
            <w:pPr>
              <w:pStyle w:val="NoSpacing"/>
            </w:pPr>
          </w:p>
        </w:tc>
      </w:tr>
      <w:tr w:rsidR="0063461A" w:rsidRPr="00D154A6" w14:paraId="5B319DED" w14:textId="77777777" w:rsidTr="00094956">
        <w:trPr>
          <w:jc w:val="center"/>
        </w:trPr>
        <w:tc>
          <w:tcPr>
            <w:tcW w:w="1589" w:type="dxa"/>
            <w:shd w:val="clear" w:color="auto" w:fill="FFFFFF"/>
          </w:tcPr>
          <w:p w14:paraId="325C5866" w14:textId="77777777" w:rsidR="0063461A" w:rsidRPr="0008782C" w:rsidRDefault="0063461A" w:rsidP="00094956">
            <w:pPr>
              <w:pStyle w:val="NoSpacing"/>
              <w:rPr>
                <w:b/>
              </w:rPr>
            </w:pPr>
            <w:r w:rsidRPr="0008782C">
              <w:rPr>
                <w:b/>
              </w:rPr>
              <w:t>Overlap in relevant experience with other roles</w:t>
            </w:r>
          </w:p>
        </w:tc>
        <w:tc>
          <w:tcPr>
            <w:tcW w:w="4678" w:type="dxa"/>
            <w:shd w:val="clear" w:color="auto" w:fill="FFFFFF"/>
          </w:tcPr>
          <w:p w14:paraId="1BB81C52" w14:textId="77777777" w:rsidR="0063461A" w:rsidRDefault="0063461A" w:rsidP="00094956">
            <w:pPr>
              <w:pStyle w:val="NoSpacing"/>
            </w:pPr>
            <w:r w:rsidRPr="00D154A6">
              <w:t xml:space="preserve">Please describe any </w:t>
            </w:r>
            <w:r>
              <w:t xml:space="preserve">non-GP </w:t>
            </w:r>
            <w:r w:rsidRPr="00D154A6">
              <w:t>clinical work</w:t>
            </w:r>
            <w:r>
              <w:t>,</w:t>
            </w:r>
            <w:r w:rsidRPr="00D154A6">
              <w:t xml:space="preserve"> </w:t>
            </w:r>
            <w:r>
              <w:t xml:space="preserve">and any </w:t>
            </w:r>
            <w:r w:rsidRPr="00D154A6">
              <w:t>non-</w:t>
            </w:r>
            <w:r>
              <w:t>clinical</w:t>
            </w:r>
            <w:r w:rsidRPr="00D154A6">
              <w:t xml:space="preserve"> roles</w:t>
            </w:r>
            <w:r>
              <w:t>,</w:t>
            </w:r>
            <w:r w:rsidRPr="00D154A6">
              <w:t xml:space="preserve"> you currently have</w:t>
            </w:r>
            <w:r>
              <w:t>. T</w:t>
            </w:r>
            <w:r w:rsidRPr="00D154A6">
              <w:t xml:space="preserve">o what extent </w:t>
            </w:r>
            <w:r>
              <w:t xml:space="preserve">do </w:t>
            </w:r>
            <w:r w:rsidRPr="00D154A6">
              <w:t xml:space="preserve">they overlap with your </w:t>
            </w:r>
            <w:r>
              <w:t>GP clinical</w:t>
            </w:r>
            <w:r w:rsidRPr="00D154A6">
              <w:t xml:space="preserve"> role</w:t>
            </w:r>
            <w:r>
              <w:t>(s)?</w:t>
            </w:r>
            <w:r w:rsidRPr="00D154A6">
              <w:t xml:space="preserve"> </w:t>
            </w:r>
          </w:p>
          <w:p w14:paraId="01233269" w14:textId="77777777" w:rsidR="0063461A" w:rsidRPr="00D154A6" w:rsidRDefault="0063461A" w:rsidP="00094956">
            <w:pPr>
              <w:pStyle w:val="NoSpacing"/>
            </w:pPr>
            <w:r>
              <w:t>Describe any</w:t>
            </w:r>
            <w:r w:rsidRPr="00D154A6">
              <w:t xml:space="preserve"> experience which helps ma</w:t>
            </w:r>
            <w:r>
              <w:t>intain your GP clinical skills</w:t>
            </w:r>
            <w:r w:rsidRPr="00D154A6">
              <w:t xml:space="preserve"> </w:t>
            </w:r>
          </w:p>
        </w:tc>
        <w:tc>
          <w:tcPr>
            <w:tcW w:w="4252" w:type="dxa"/>
            <w:shd w:val="clear" w:color="auto" w:fill="FFFFFF"/>
          </w:tcPr>
          <w:p w14:paraId="3E519799" w14:textId="77777777" w:rsidR="0063461A" w:rsidRPr="00D154A6" w:rsidRDefault="0063461A" w:rsidP="00094956">
            <w:pPr>
              <w:pStyle w:val="NoSpacing"/>
            </w:pPr>
          </w:p>
        </w:tc>
      </w:tr>
      <w:tr w:rsidR="0063461A" w:rsidRPr="00D154A6" w14:paraId="0D27AC10" w14:textId="77777777" w:rsidTr="00094956">
        <w:trPr>
          <w:trHeight w:val="1283"/>
          <w:jc w:val="center"/>
        </w:trPr>
        <w:tc>
          <w:tcPr>
            <w:tcW w:w="1589" w:type="dxa"/>
            <w:shd w:val="clear" w:color="auto" w:fill="FFFFFF"/>
          </w:tcPr>
          <w:p w14:paraId="19846E22" w14:textId="77777777" w:rsidR="0063461A" w:rsidRPr="0008782C" w:rsidRDefault="0063461A" w:rsidP="00094956">
            <w:pPr>
              <w:pStyle w:val="NoSpacing"/>
              <w:rPr>
                <w:b/>
              </w:rPr>
            </w:pPr>
            <w:r w:rsidRPr="0008782C">
              <w:rPr>
                <w:b/>
              </w:rPr>
              <w:t>Duration of low volume of GP clinical work</w:t>
            </w:r>
          </w:p>
        </w:tc>
        <w:tc>
          <w:tcPr>
            <w:tcW w:w="4678" w:type="dxa"/>
            <w:shd w:val="clear" w:color="auto" w:fill="FFFFFF"/>
          </w:tcPr>
          <w:p w14:paraId="0881CA73" w14:textId="77777777" w:rsidR="0063461A" w:rsidRDefault="0063461A" w:rsidP="00094956">
            <w:pPr>
              <w:pStyle w:val="NoSpacing"/>
            </w:pPr>
            <w:r w:rsidRPr="00D154A6">
              <w:t xml:space="preserve">How long have you been working at </w:t>
            </w:r>
            <w:r>
              <w:t>your</w:t>
            </w:r>
            <w:r w:rsidRPr="00D154A6">
              <w:t xml:space="preserve"> current </w:t>
            </w:r>
            <w:r>
              <w:t xml:space="preserve">low </w:t>
            </w:r>
            <w:r w:rsidRPr="00D154A6">
              <w:t xml:space="preserve">volume of </w:t>
            </w:r>
            <w:r>
              <w:t xml:space="preserve">GP clinical </w:t>
            </w:r>
            <w:r w:rsidRPr="00D154A6">
              <w:t>work</w:t>
            </w:r>
            <w:r>
              <w:t xml:space="preserve">? </w:t>
            </w:r>
          </w:p>
          <w:p w14:paraId="764044D0" w14:textId="77777777" w:rsidR="0063461A" w:rsidRPr="00D154A6" w:rsidRDefault="0063461A" w:rsidP="00094956">
            <w:pPr>
              <w:pStyle w:val="NoSpacing"/>
            </w:pPr>
            <w:r>
              <w:t>W</w:t>
            </w:r>
            <w:r w:rsidRPr="00D154A6">
              <w:t xml:space="preserve">hat are your plans to continue to work at this </w:t>
            </w:r>
            <w:r>
              <w:t xml:space="preserve">low </w:t>
            </w:r>
            <w:r w:rsidRPr="00D154A6">
              <w:t xml:space="preserve">volume </w:t>
            </w:r>
            <w:r>
              <w:t>of GP clinical work?</w:t>
            </w:r>
          </w:p>
        </w:tc>
        <w:tc>
          <w:tcPr>
            <w:tcW w:w="4252" w:type="dxa"/>
            <w:shd w:val="clear" w:color="auto" w:fill="FFFFFF"/>
          </w:tcPr>
          <w:p w14:paraId="1A9CD1C1" w14:textId="77777777" w:rsidR="0063461A" w:rsidRPr="00D154A6" w:rsidRDefault="0063461A" w:rsidP="00094956">
            <w:pPr>
              <w:pStyle w:val="NoSpacing"/>
            </w:pPr>
          </w:p>
        </w:tc>
      </w:tr>
      <w:tr w:rsidR="0063461A" w:rsidRPr="00D154A6" w14:paraId="6368B3DD" w14:textId="77777777" w:rsidTr="00094956">
        <w:trPr>
          <w:jc w:val="center"/>
        </w:trPr>
        <w:tc>
          <w:tcPr>
            <w:tcW w:w="1589" w:type="dxa"/>
            <w:shd w:val="clear" w:color="auto" w:fill="FFFFFF"/>
          </w:tcPr>
          <w:p w14:paraId="46009836" w14:textId="77777777" w:rsidR="0063461A" w:rsidRPr="0008782C" w:rsidRDefault="0063461A" w:rsidP="00094956">
            <w:pPr>
              <w:pStyle w:val="NoSpacing"/>
              <w:rPr>
                <w:b/>
              </w:rPr>
            </w:pPr>
            <w:r w:rsidRPr="0008782C">
              <w:rPr>
                <w:b/>
              </w:rPr>
              <w:t>Scope of practice</w:t>
            </w:r>
          </w:p>
        </w:tc>
        <w:tc>
          <w:tcPr>
            <w:tcW w:w="4678" w:type="dxa"/>
            <w:shd w:val="clear" w:color="auto" w:fill="FFFFFF"/>
          </w:tcPr>
          <w:p w14:paraId="1FDC2483" w14:textId="77777777" w:rsidR="0063461A" w:rsidRDefault="0063461A" w:rsidP="00094956">
            <w:pPr>
              <w:pStyle w:val="NoSpacing"/>
            </w:pPr>
            <w:r>
              <w:t>What is the n</w:t>
            </w:r>
            <w:r w:rsidRPr="00D154A6">
              <w:t xml:space="preserve">ature of </w:t>
            </w:r>
            <w:r>
              <w:t>your</w:t>
            </w:r>
            <w:r w:rsidRPr="00D154A6">
              <w:t xml:space="preserve"> </w:t>
            </w:r>
            <w:r>
              <w:t xml:space="preserve">low volume of </w:t>
            </w:r>
            <w:r w:rsidRPr="00D154A6">
              <w:t xml:space="preserve">GP </w:t>
            </w:r>
            <w:r>
              <w:t>clinical work?</w:t>
            </w:r>
            <w:r w:rsidRPr="00D154A6">
              <w:t xml:space="preserve"> </w:t>
            </w:r>
          </w:p>
          <w:p w14:paraId="5B7187B6" w14:textId="77777777" w:rsidR="0063461A" w:rsidRPr="00D154A6" w:rsidRDefault="0063461A" w:rsidP="00094956">
            <w:pPr>
              <w:pStyle w:val="NoSpacing"/>
            </w:pPr>
            <w:r w:rsidRPr="00D154A6">
              <w:t xml:space="preserve">Do you carry out the full scope of </w:t>
            </w:r>
            <w:r>
              <w:t xml:space="preserve">undifferentiated </w:t>
            </w:r>
            <w:r w:rsidRPr="00D154A6">
              <w:t xml:space="preserve">general practice </w:t>
            </w:r>
            <w:r>
              <w:t xml:space="preserve">clinical </w:t>
            </w:r>
            <w:r w:rsidRPr="00D154A6">
              <w:t xml:space="preserve">work or is your GP </w:t>
            </w:r>
            <w:r>
              <w:t xml:space="preserve">clinical </w:t>
            </w:r>
            <w:r w:rsidRPr="00D154A6">
              <w:t>role in any way restricted</w:t>
            </w:r>
            <w:r>
              <w:t>?</w:t>
            </w:r>
          </w:p>
          <w:p w14:paraId="2D702DF4" w14:textId="77777777" w:rsidR="0063461A" w:rsidRPr="00D154A6" w:rsidRDefault="0063461A" w:rsidP="00094956">
            <w:pPr>
              <w:pStyle w:val="NoSpacing"/>
            </w:pPr>
            <w:r>
              <w:t>If your GP clinical work is restricted, what safeguards are in place to ensure that you are not asked to do clinical work that you have not kept up to date?</w:t>
            </w:r>
          </w:p>
        </w:tc>
        <w:tc>
          <w:tcPr>
            <w:tcW w:w="4252" w:type="dxa"/>
            <w:shd w:val="clear" w:color="auto" w:fill="FFFFFF"/>
          </w:tcPr>
          <w:p w14:paraId="439FC581" w14:textId="77777777" w:rsidR="0063461A" w:rsidRPr="00D154A6" w:rsidRDefault="0063461A" w:rsidP="00094956">
            <w:pPr>
              <w:pStyle w:val="NoSpacing"/>
            </w:pPr>
          </w:p>
        </w:tc>
      </w:tr>
      <w:tr w:rsidR="0063461A" w:rsidRPr="00D154A6" w14:paraId="3CE96092" w14:textId="77777777" w:rsidTr="00094956">
        <w:trPr>
          <w:jc w:val="center"/>
        </w:trPr>
        <w:tc>
          <w:tcPr>
            <w:tcW w:w="1589" w:type="dxa"/>
            <w:shd w:val="clear" w:color="auto" w:fill="FFFFFF"/>
          </w:tcPr>
          <w:p w14:paraId="42C9027F" w14:textId="77777777" w:rsidR="0063461A" w:rsidRPr="0008782C" w:rsidRDefault="0063461A" w:rsidP="00094956">
            <w:pPr>
              <w:pStyle w:val="NoSpacing"/>
              <w:rPr>
                <w:b/>
              </w:rPr>
            </w:pPr>
            <w:r w:rsidRPr="0008782C">
              <w:rPr>
                <w:b/>
              </w:rPr>
              <w:t>Benchmarking, integration and support</w:t>
            </w:r>
          </w:p>
        </w:tc>
        <w:tc>
          <w:tcPr>
            <w:tcW w:w="4678" w:type="dxa"/>
            <w:shd w:val="clear" w:color="auto" w:fill="FFFFFF"/>
          </w:tcPr>
          <w:p w14:paraId="34719A7A" w14:textId="77777777" w:rsidR="0063461A" w:rsidRDefault="0063461A" w:rsidP="00094956">
            <w:pPr>
              <w:pStyle w:val="NoSpacing"/>
            </w:pPr>
            <w:r w:rsidRPr="00D154A6">
              <w:t xml:space="preserve">Are you able to compare your own </w:t>
            </w:r>
            <w:r>
              <w:t xml:space="preserve">clinical </w:t>
            </w:r>
            <w:r w:rsidRPr="00D154A6">
              <w:t xml:space="preserve">practice with that of your peers? </w:t>
            </w:r>
          </w:p>
          <w:p w14:paraId="05401A15" w14:textId="77777777" w:rsidR="0063461A" w:rsidRPr="00D154A6" w:rsidRDefault="0063461A" w:rsidP="00094956">
            <w:pPr>
              <w:pStyle w:val="NoSpacing"/>
            </w:pPr>
            <w:r w:rsidRPr="00D154A6">
              <w:t>For example:</w:t>
            </w:r>
          </w:p>
          <w:p w14:paraId="0735505A" w14:textId="77777777" w:rsidR="0063461A" w:rsidRPr="00D154A6" w:rsidRDefault="0063461A" w:rsidP="00094956">
            <w:pPr>
              <w:pStyle w:val="NoSpacing"/>
            </w:pPr>
            <w:r w:rsidRPr="00D154A6">
              <w:t xml:space="preserve">Do you receive organisationally generated data on your </w:t>
            </w:r>
            <w:r>
              <w:t xml:space="preserve">clinical </w:t>
            </w:r>
            <w:r w:rsidRPr="00D154A6">
              <w:t>activity which compares you to your peers?</w:t>
            </w:r>
          </w:p>
          <w:p w14:paraId="2358536E" w14:textId="77777777" w:rsidR="0063461A" w:rsidRPr="00D154A6" w:rsidRDefault="0063461A" w:rsidP="00094956">
            <w:pPr>
              <w:pStyle w:val="NoSpacing"/>
            </w:pPr>
            <w:r w:rsidRPr="00D154A6">
              <w:t xml:space="preserve">Do you meet regularly with your peers to discuss </w:t>
            </w:r>
            <w:r w:rsidRPr="00D154A6">
              <w:lastRenderedPageBreak/>
              <w:t xml:space="preserve">your </w:t>
            </w:r>
            <w:r>
              <w:t xml:space="preserve">clinical </w:t>
            </w:r>
            <w:r w:rsidRPr="00D154A6">
              <w:t>work?</w:t>
            </w:r>
          </w:p>
          <w:p w14:paraId="0E85686C" w14:textId="77777777" w:rsidR="0063461A" w:rsidRPr="00D154A6" w:rsidRDefault="0063461A" w:rsidP="00094956">
            <w:pPr>
              <w:pStyle w:val="NoSpacing"/>
            </w:pPr>
            <w:r w:rsidRPr="00D154A6">
              <w:t>Do you have easy access to support and advice from your peers (either through work or through networks outside work e.g. learning groups, etc.)?</w:t>
            </w:r>
          </w:p>
        </w:tc>
        <w:tc>
          <w:tcPr>
            <w:tcW w:w="4252" w:type="dxa"/>
            <w:shd w:val="clear" w:color="auto" w:fill="FFFFFF"/>
          </w:tcPr>
          <w:p w14:paraId="2F03B953" w14:textId="77777777" w:rsidR="0063461A" w:rsidRPr="00D154A6" w:rsidRDefault="0063461A" w:rsidP="00094956">
            <w:pPr>
              <w:pStyle w:val="NoSpacing"/>
            </w:pPr>
          </w:p>
        </w:tc>
      </w:tr>
      <w:tr w:rsidR="0063461A" w:rsidRPr="00D154A6" w14:paraId="725BDDAE" w14:textId="77777777" w:rsidTr="00094956">
        <w:trPr>
          <w:jc w:val="center"/>
        </w:trPr>
        <w:tc>
          <w:tcPr>
            <w:tcW w:w="1589" w:type="dxa"/>
            <w:shd w:val="clear" w:color="auto" w:fill="FFFFFF"/>
          </w:tcPr>
          <w:p w14:paraId="602A9C73" w14:textId="77777777" w:rsidR="0063461A" w:rsidRPr="0008782C" w:rsidRDefault="0063461A" w:rsidP="00094956">
            <w:pPr>
              <w:pStyle w:val="NoSpacing"/>
              <w:rPr>
                <w:b/>
              </w:rPr>
            </w:pPr>
            <w:r w:rsidRPr="0008782C">
              <w:rPr>
                <w:b/>
              </w:rPr>
              <w:t xml:space="preserve">Personal approach to </w:t>
            </w:r>
            <w:r>
              <w:rPr>
                <w:b/>
              </w:rPr>
              <w:t xml:space="preserve">clinical </w:t>
            </w:r>
            <w:r w:rsidRPr="0008782C">
              <w:rPr>
                <w:b/>
              </w:rPr>
              <w:t>risk</w:t>
            </w:r>
            <w:r>
              <w:rPr>
                <w:b/>
              </w:rPr>
              <w:t xml:space="preserve"> management</w:t>
            </w:r>
          </w:p>
        </w:tc>
        <w:tc>
          <w:tcPr>
            <w:tcW w:w="4678" w:type="dxa"/>
            <w:shd w:val="clear" w:color="auto" w:fill="FFFFFF"/>
          </w:tcPr>
          <w:p w14:paraId="5DC0D8B1" w14:textId="77777777" w:rsidR="0063461A" w:rsidRDefault="0063461A" w:rsidP="00094956">
            <w:pPr>
              <w:pStyle w:val="NoSpacing"/>
            </w:pPr>
            <w:r w:rsidRPr="00D154A6">
              <w:t>How do you limit the impact of your professional working arrangements on clinical risk to your patients?</w:t>
            </w:r>
            <w:r>
              <w:t xml:space="preserve"> </w:t>
            </w:r>
          </w:p>
          <w:p w14:paraId="4A45F43D" w14:textId="77777777" w:rsidR="0063461A" w:rsidRPr="00D154A6" w:rsidRDefault="0063461A" w:rsidP="00094956">
            <w:pPr>
              <w:pStyle w:val="NoSpacing"/>
            </w:pPr>
            <w:r w:rsidRPr="00D154A6">
              <w:t xml:space="preserve">For example: </w:t>
            </w:r>
          </w:p>
          <w:p w14:paraId="78B79E40" w14:textId="77777777" w:rsidR="0063461A" w:rsidRPr="00D154A6" w:rsidRDefault="0063461A" w:rsidP="00094956">
            <w:pPr>
              <w:pStyle w:val="NoSpacing"/>
            </w:pPr>
            <w:r w:rsidRPr="00D154A6">
              <w:t xml:space="preserve">If you work a restricted scope of </w:t>
            </w:r>
            <w:r>
              <w:t xml:space="preserve">clinical </w:t>
            </w:r>
            <w:r w:rsidRPr="00D154A6">
              <w:t>practice</w:t>
            </w:r>
            <w:r>
              <w:t>,</w:t>
            </w:r>
            <w:r w:rsidRPr="00D154A6">
              <w:t xml:space="preserve"> what arrangements do you have in place to stay within the boundaries of your competence?</w:t>
            </w:r>
          </w:p>
          <w:p w14:paraId="373EF224" w14:textId="77777777" w:rsidR="0063461A" w:rsidRPr="00D154A6" w:rsidRDefault="0063461A" w:rsidP="00094956">
            <w:pPr>
              <w:pStyle w:val="NoSpacing"/>
            </w:pPr>
            <w:r w:rsidRPr="00D154A6">
              <w:t>If you move around</w:t>
            </w:r>
            <w:r>
              <w:t>,</w:t>
            </w:r>
            <w:r w:rsidRPr="00D154A6">
              <w:t xml:space="preserve"> what actions to you take to ensure you have access to adequate induction and systems information?</w:t>
            </w:r>
          </w:p>
          <w:p w14:paraId="04DC1058" w14:textId="77777777" w:rsidR="0063461A" w:rsidRDefault="0063461A" w:rsidP="00094956">
            <w:pPr>
              <w:pStyle w:val="NoSpacing"/>
            </w:pPr>
            <w:r>
              <w:t>How d</w:t>
            </w:r>
            <w:r w:rsidRPr="00D154A6">
              <w:t xml:space="preserve">o you report </w:t>
            </w:r>
            <w:r>
              <w:t>significant events in</w:t>
            </w:r>
            <w:r w:rsidRPr="00D154A6">
              <w:t xml:space="preserve"> the organisations you work in?</w:t>
            </w:r>
          </w:p>
          <w:p w14:paraId="096BBB77" w14:textId="77777777" w:rsidR="0063461A" w:rsidRPr="00D154A6" w:rsidRDefault="0063461A" w:rsidP="00094956">
            <w:pPr>
              <w:pStyle w:val="NoSpacing"/>
            </w:pPr>
            <w:r w:rsidRPr="00D154A6">
              <w:t>How do you ensure you are inform</w:t>
            </w:r>
            <w:r>
              <w:t>ed promptly of complaints and significant events in which you are named or involved?</w:t>
            </w:r>
            <w:r w:rsidRPr="00D154A6">
              <w:t xml:space="preserve"> </w:t>
            </w:r>
          </w:p>
        </w:tc>
        <w:tc>
          <w:tcPr>
            <w:tcW w:w="4252" w:type="dxa"/>
            <w:shd w:val="clear" w:color="auto" w:fill="FFFFFF"/>
          </w:tcPr>
          <w:p w14:paraId="05038041" w14:textId="77777777" w:rsidR="0063461A" w:rsidRPr="00D154A6" w:rsidRDefault="0063461A" w:rsidP="00094956">
            <w:pPr>
              <w:pStyle w:val="NoSpacing"/>
            </w:pPr>
          </w:p>
        </w:tc>
      </w:tr>
      <w:tr w:rsidR="0063461A" w:rsidRPr="00D154A6" w14:paraId="5C600E68" w14:textId="77777777" w:rsidTr="00094956">
        <w:trPr>
          <w:jc w:val="center"/>
        </w:trPr>
        <w:tc>
          <w:tcPr>
            <w:tcW w:w="1589" w:type="dxa"/>
            <w:shd w:val="clear" w:color="auto" w:fill="FFFFFF"/>
          </w:tcPr>
          <w:p w14:paraId="49545286" w14:textId="77777777" w:rsidR="0063461A" w:rsidRDefault="0063461A" w:rsidP="00094956">
            <w:pPr>
              <w:pStyle w:val="NoSpacing"/>
              <w:rPr>
                <w:b/>
              </w:rPr>
            </w:pPr>
            <w:r w:rsidRPr="0008782C">
              <w:rPr>
                <w:b/>
              </w:rPr>
              <w:t>C</w:t>
            </w:r>
            <w:r>
              <w:rPr>
                <w:b/>
              </w:rPr>
              <w:t>ontinuing Professional Development</w:t>
            </w:r>
          </w:p>
          <w:p w14:paraId="42EEB153" w14:textId="77777777" w:rsidR="0063461A" w:rsidRPr="0008782C" w:rsidRDefault="0063461A" w:rsidP="00094956">
            <w:pPr>
              <w:pStyle w:val="NoSpacing"/>
              <w:rPr>
                <w:b/>
              </w:rPr>
            </w:pPr>
            <w:r>
              <w:rPr>
                <w:b/>
              </w:rPr>
              <w:t>(CPD)</w:t>
            </w:r>
          </w:p>
        </w:tc>
        <w:tc>
          <w:tcPr>
            <w:tcW w:w="4678" w:type="dxa"/>
            <w:shd w:val="clear" w:color="auto" w:fill="FFFFFF"/>
          </w:tcPr>
          <w:p w14:paraId="5A15A467" w14:textId="77777777" w:rsidR="0063461A" w:rsidRPr="00D154A6" w:rsidRDefault="0063461A" w:rsidP="00094956">
            <w:pPr>
              <w:pStyle w:val="NoSpacing"/>
            </w:pPr>
            <w:r>
              <w:t>H</w:t>
            </w:r>
            <w:r w:rsidRPr="00D154A6">
              <w:t xml:space="preserve">ow </w:t>
            </w:r>
            <w:r>
              <w:t xml:space="preserve">does </w:t>
            </w:r>
            <w:r w:rsidRPr="00D154A6">
              <w:t xml:space="preserve">your approach to CPD help to ensure </w:t>
            </w:r>
            <w:r>
              <w:t xml:space="preserve">that </w:t>
            </w:r>
            <w:r w:rsidRPr="00D154A6">
              <w:t xml:space="preserve">you </w:t>
            </w:r>
            <w:r>
              <w:t>remain up to date across the whole scope of your clinical work?</w:t>
            </w:r>
          </w:p>
          <w:p w14:paraId="0B50E8CD" w14:textId="77777777" w:rsidR="0063461A" w:rsidRPr="00D154A6" w:rsidRDefault="0063461A" w:rsidP="00094956">
            <w:pPr>
              <w:pStyle w:val="NoSpacing"/>
            </w:pPr>
            <w:r>
              <w:t>How well d</w:t>
            </w:r>
            <w:r w:rsidRPr="00D154A6">
              <w:t>oes your CPD give you an ongoing exposure to the breadth of your potential caseload</w:t>
            </w:r>
            <w:r>
              <w:t>,</w:t>
            </w:r>
            <w:r w:rsidRPr="00D154A6">
              <w:t xml:space="preserve"> such as to mitigate any reduction in experience?</w:t>
            </w:r>
          </w:p>
          <w:p w14:paraId="39FFAABC" w14:textId="77777777" w:rsidR="0063461A" w:rsidRPr="00D154A6" w:rsidRDefault="0063461A" w:rsidP="00094956">
            <w:pPr>
              <w:pStyle w:val="NoSpacing"/>
            </w:pPr>
            <w:r w:rsidRPr="00D154A6">
              <w:t>Do you access any vicarious clinical exposure</w:t>
            </w:r>
            <w:r>
              <w:t>, such as</w:t>
            </w:r>
            <w:r w:rsidRPr="00D154A6">
              <w:t xml:space="preserve"> through </w:t>
            </w:r>
            <w:r>
              <w:t xml:space="preserve">peers, </w:t>
            </w:r>
            <w:r w:rsidRPr="00D154A6">
              <w:t>learning groups or social media discussion forums?</w:t>
            </w:r>
          </w:p>
          <w:p w14:paraId="2045B2DC" w14:textId="77777777" w:rsidR="0063461A" w:rsidRPr="00D154A6" w:rsidRDefault="0063461A" w:rsidP="00094956">
            <w:pPr>
              <w:pStyle w:val="NoSpacing"/>
            </w:pPr>
            <w:r>
              <w:t>How do you</w:t>
            </w:r>
            <w:r w:rsidRPr="00D154A6">
              <w:t xml:space="preserve"> access up to date, authoritative factual information about clinical issues most of the time?</w:t>
            </w:r>
            <w:r>
              <w:t xml:space="preserve"> Do you have access to peers on site? Do you have access to authoritative on-line information?</w:t>
            </w:r>
          </w:p>
        </w:tc>
        <w:tc>
          <w:tcPr>
            <w:tcW w:w="4252" w:type="dxa"/>
            <w:shd w:val="clear" w:color="auto" w:fill="FFFFFF"/>
          </w:tcPr>
          <w:p w14:paraId="2CEB5D1E" w14:textId="77777777" w:rsidR="0063461A" w:rsidRPr="00D154A6" w:rsidRDefault="0063461A" w:rsidP="00094956">
            <w:pPr>
              <w:pStyle w:val="NoSpacing"/>
            </w:pPr>
          </w:p>
        </w:tc>
      </w:tr>
      <w:tr w:rsidR="0063461A" w:rsidRPr="00D154A6" w14:paraId="5DCEF901" w14:textId="77777777" w:rsidTr="00094956">
        <w:trPr>
          <w:jc w:val="center"/>
        </w:trPr>
        <w:tc>
          <w:tcPr>
            <w:tcW w:w="1589" w:type="dxa"/>
            <w:shd w:val="clear" w:color="auto" w:fill="FFFFFF"/>
          </w:tcPr>
          <w:p w14:paraId="6C1582B2" w14:textId="77777777" w:rsidR="0063461A" w:rsidRDefault="0063461A" w:rsidP="00094956">
            <w:pPr>
              <w:pStyle w:val="NoSpacing"/>
              <w:rPr>
                <w:b/>
              </w:rPr>
            </w:pPr>
            <w:r w:rsidRPr="0008782C">
              <w:rPr>
                <w:b/>
              </w:rPr>
              <w:t>Personal development planning</w:t>
            </w:r>
          </w:p>
          <w:p w14:paraId="1043DB7B" w14:textId="77777777" w:rsidR="0063461A" w:rsidRPr="0008782C" w:rsidRDefault="0063461A" w:rsidP="00094956">
            <w:pPr>
              <w:pStyle w:val="NoSpacing"/>
              <w:rPr>
                <w:b/>
              </w:rPr>
            </w:pPr>
            <w:r>
              <w:rPr>
                <w:b/>
              </w:rPr>
              <w:t>(PDP)</w:t>
            </w:r>
          </w:p>
        </w:tc>
        <w:tc>
          <w:tcPr>
            <w:tcW w:w="4678" w:type="dxa"/>
            <w:shd w:val="clear" w:color="auto" w:fill="FFFFFF"/>
          </w:tcPr>
          <w:p w14:paraId="1647B80E" w14:textId="77777777" w:rsidR="0063461A" w:rsidRPr="00D154A6" w:rsidRDefault="0063461A" w:rsidP="00094956">
            <w:pPr>
              <w:pStyle w:val="NoSpacing"/>
            </w:pPr>
            <w:r>
              <w:t>G</w:t>
            </w:r>
            <w:r w:rsidRPr="00D154A6">
              <w:t>oing forward</w:t>
            </w:r>
            <w:r>
              <w:t>,</w:t>
            </w:r>
            <w:r w:rsidRPr="00D154A6">
              <w:t xml:space="preserve"> what actions do you feel </w:t>
            </w:r>
            <w:r>
              <w:t>are</w:t>
            </w:r>
            <w:r w:rsidRPr="00D154A6">
              <w:t xml:space="preserve"> necessary to</w:t>
            </w:r>
            <w:r>
              <w:t xml:space="preserve"> </w:t>
            </w:r>
            <w:r w:rsidRPr="00D154A6">
              <w:t>support your development</w:t>
            </w:r>
            <w:r>
              <w:t xml:space="preserve"> and</w:t>
            </w:r>
            <w:r w:rsidRPr="00D154A6">
              <w:t xml:space="preserve"> ensure you retain your competencies across your </w:t>
            </w:r>
            <w:r>
              <w:t xml:space="preserve">whole </w:t>
            </w:r>
            <w:r w:rsidRPr="00D154A6">
              <w:t xml:space="preserve">scope of </w:t>
            </w:r>
            <w:r>
              <w:t xml:space="preserve">clinical </w:t>
            </w:r>
            <w:r w:rsidRPr="00D154A6">
              <w:t>work?</w:t>
            </w:r>
          </w:p>
        </w:tc>
        <w:tc>
          <w:tcPr>
            <w:tcW w:w="4252" w:type="dxa"/>
            <w:shd w:val="clear" w:color="auto" w:fill="FFFFFF"/>
          </w:tcPr>
          <w:p w14:paraId="586CB7AB" w14:textId="77777777" w:rsidR="0063461A" w:rsidRPr="00D154A6" w:rsidRDefault="0063461A" w:rsidP="00094956">
            <w:pPr>
              <w:pStyle w:val="NoSpacing"/>
            </w:pPr>
          </w:p>
        </w:tc>
      </w:tr>
    </w:tbl>
    <w:p w14:paraId="5FE98DFF" w14:textId="1B901448" w:rsidR="0063461A" w:rsidRDefault="0063461A" w:rsidP="0063461A">
      <w:pPr>
        <w:keepNext/>
        <w:keepLines/>
        <w:spacing w:before="240" w:after="0"/>
        <w:jc w:val="both"/>
        <w:outlineLvl w:val="0"/>
        <w:rPr>
          <w:rFonts w:ascii="Arial" w:eastAsiaTheme="majorEastAsia" w:hAnsi="Arial" w:cs="Arial"/>
          <w:b/>
          <w:bCs/>
          <w:color w:val="0070C0"/>
          <w:sz w:val="24"/>
          <w:szCs w:val="28"/>
        </w:rPr>
      </w:pPr>
    </w:p>
    <w:p w14:paraId="014DAA6F" w14:textId="13435D3A" w:rsidR="0063461A" w:rsidRDefault="0063461A" w:rsidP="0063461A">
      <w:pPr>
        <w:rPr>
          <w:rFonts w:ascii="Arial" w:eastAsiaTheme="majorEastAsia" w:hAnsi="Arial" w:cs="Arial"/>
          <w:b/>
          <w:bCs/>
          <w:color w:val="0070C0"/>
          <w:sz w:val="24"/>
          <w:szCs w:val="28"/>
        </w:rPr>
      </w:pPr>
      <w:r>
        <w:rPr>
          <w:rFonts w:ascii="Arial" w:eastAsiaTheme="majorEastAsia" w:hAnsi="Arial" w:cs="Arial"/>
          <w:b/>
          <w:bCs/>
          <w:color w:val="0070C0"/>
          <w:sz w:val="24"/>
          <w:szCs w:val="28"/>
        </w:rPr>
        <w:br w:type="page"/>
      </w:r>
    </w:p>
    <w:p w14:paraId="1E1CC2A7" w14:textId="0DCF2C77" w:rsidR="00D154A6" w:rsidRPr="003139D6" w:rsidRDefault="00D154A6" w:rsidP="00D154A6">
      <w:pPr>
        <w:keepNext/>
        <w:keepLines/>
        <w:spacing w:before="240" w:after="0"/>
        <w:ind w:left="425" w:hanging="425"/>
        <w:jc w:val="both"/>
        <w:outlineLvl w:val="0"/>
        <w:rPr>
          <w:rFonts w:ascii="Arial" w:eastAsiaTheme="majorEastAsia" w:hAnsi="Arial" w:cs="Arial"/>
          <w:b/>
          <w:bCs/>
          <w:color w:val="0070C0"/>
          <w:sz w:val="24"/>
          <w:szCs w:val="28"/>
        </w:rPr>
      </w:pPr>
      <w:bookmarkStart w:id="7" w:name="_Toc517951901"/>
      <w:r w:rsidRPr="003139D6">
        <w:rPr>
          <w:rFonts w:ascii="Arial" w:eastAsiaTheme="majorEastAsia" w:hAnsi="Arial" w:cs="Arial"/>
          <w:b/>
          <w:bCs/>
          <w:color w:val="0070C0"/>
          <w:sz w:val="24"/>
          <w:szCs w:val="28"/>
        </w:rPr>
        <w:lastRenderedPageBreak/>
        <w:t>Overview</w:t>
      </w:r>
      <w:bookmarkEnd w:id="7"/>
    </w:p>
    <w:p w14:paraId="5064393D" w14:textId="2A051AD7" w:rsidR="00D154A6" w:rsidRPr="00D154A6" w:rsidRDefault="00D154A6" w:rsidP="00D154A6">
      <w:pPr>
        <w:jc w:val="both"/>
        <w:rPr>
          <w:rFonts w:cs="Calibri"/>
        </w:rPr>
      </w:pPr>
      <w:r w:rsidRPr="00D154A6">
        <w:rPr>
          <w:rFonts w:cs="Calibri"/>
        </w:rPr>
        <w:t xml:space="preserve">This guidance provides a framework for the </w:t>
      </w:r>
      <w:r w:rsidR="00B237C6">
        <w:rPr>
          <w:rFonts w:cs="Calibri"/>
        </w:rPr>
        <w:t xml:space="preserve">support and management of doctors </w:t>
      </w:r>
      <w:r w:rsidRPr="00D154A6">
        <w:rPr>
          <w:rFonts w:cs="Calibri"/>
        </w:rPr>
        <w:t xml:space="preserve">who are undertaking a low volume (defined as fewer than 40 sessions per annum) of General Practice (GP) clinical work.  There are three areas of focus intended to achieve a consistent, transparent and supportive approach </w:t>
      </w:r>
      <w:r w:rsidR="00B237C6">
        <w:rPr>
          <w:rFonts w:cs="Calibri"/>
        </w:rPr>
        <w:t>for GPs across the UK</w:t>
      </w:r>
      <w:r w:rsidRPr="00D154A6">
        <w:rPr>
          <w:rFonts w:cs="Calibri"/>
        </w:rPr>
        <w:t>;</w:t>
      </w:r>
    </w:p>
    <w:p w14:paraId="5A4FEF7D" w14:textId="20E368D3" w:rsidR="00D154A6" w:rsidRPr="00566981" w:rsidRDefault="00D154A6" w:rsidP="00C665DD">
      <w:pPr>
        <w:numPr>
          <w:ilvl w:val="0"/>
          <w:numId w:val="6"/>
        </w:numPr>
        <w:spacing w:after="0" w:line="240" w:lineRule="auto"/>
        <w:jc w:val="both"/>
        <w:rPr>
          <w:rFonts w:cs="Calibri"/>
        </w:rPr>
      </w:pPr>
      <w:r w:rsidRPr="00D154A6">
        <w:rPr>
          <w:rFonts w:cs="Calibri"/>
        </w:rPr>
        <w:t>Setting out the professional responsibilities of a doctor undertaking a low volume of GP clinical work</w:t>
      </w:r>
    </w:p>
    <w:p w14:paraId="64F6F8FF" w14:textId="59272818" w:rsidR="00D154A6" w:rsidRPr="00566981" w:rsidRDefault="00D154A6" w:rsidP="00C665DD">
      <w:pPr>
        <w:numPr>
          <w:ilvl w:val="0"/>
          <w:numId w:val="6"/>
        </w:numPr>
        <w:contextualSpacing/>
        <w:jc w:val="both"/>
        <w:rPr>
          <w:lang w:val="en-US"/>
        </w:rPr>
      </w:pPr>
      <w:r w:rsidRPr="00D154A6">
        <w:t xml:space="preserve">Defining a threshold for the definition of a low volume of </w:t>
      </w:r>
      <w:r w:rsidR="00B237C6">
        <w:t xml:space="preserve">GP </w:t>
      </w:r>
      <w:r w:rsidRPr="00D154A6">
        <w:t>clinical work</w:t>
      </w:r>
      <w:r w:rsidR="00B237C6">
        <w:t xml:space="preserve"> </w:t>
      </w:r>
      <w:r w:rsidRPr="00D154A6">
        <w:rPr>
          <w:lang w:val="en-US"/>
        </w:rPr>
        <w:t>and</w:t>
      </w:r>
      <w:r w:rsidR="00B237C6">
        <w:rPr>
          <w:lang w:val="en-US"/>
        </w:rPr>
        <w:t xml:space="preserve"> a template for </w:t>
      </w:r>
      <w:r w:rsidRPr="00D154A6">
        <w:rPr>
          <w:lang w:val="en-US"/>
        </w:rPr>
        <w:t xml:space="preserve">the subsequent </w:t>
      </w:r>
      <w:r w:rsidR="00B237C6">
        <w:rPr>
          <w:lang w:val="en-US"/>
        </w:rPr>
        <w:t>discussion during</w:t>
      </w:r>
      <w:r w:rsidRPr="00D154A6">
        <w:rPr>
          <w:lang w:val="en-US"/>
        </w:rPr>
        <w:t xml:space="preserve"> appraisal</w:t>
      </w:r>
    </w:p>
    <w:p w14:paraId="71BB2CE5" w14:textId="4E39FCCE" w:rsidR="00D154A6" w:rsidRPr="00D154A6" w:rsidRDefault="00D154A6" w:rsidP="00D154A6">
      <w:pPr>
        <w:numPr>
          <w:ilvl w:val="0"/>
          <w:numId w:val="6"/>
        </w:numPr>
        <w:contextualSpacing/>
        <w:jc w:val="both"/>
        <w:rPr>
          <w:u w:val="single"/>
          <w:lang w:val="en-US"/>
        </w:rPr>
      </w:pPr>
      <w:r w:rsidRPr="00D154A6">
        <w:rPr>
          <w:lang w:val="en-US"/>
        </w:rPr>
        <w:t xml:space="preserve">Providing support for doctors </w:t>
      </w:r>
      <w:r w:rsidRPr="00D154A6">
        <w:t>undertaking a low volume of GP clinical work and those appraising them</w:t>
      </w:r>
    </w:p>
    <w:p w14:paraId="34B63A5D" w14:textId="77777777" w:rsidR="00D154A6" w:rsidRPr="00D154A6" w:rsidRDefault="00D154A6" w:rsidP="00D154A6">
      <w:pPr>
        <w:spacing w:after="0" w:line="240" w:lineRule="auto"/>
        <w:ind w:left="720"/>
        <w:jc w:val="both"/>
        <w:rPr>
          <w:rFonts w:cs="Calibri"/>
        </w:rPr>
      </w:pPr>
    </w:p>
    <w:p w14:paraId="4DE9CE49" w14:textId="77CA34D7" w:rsidR="00D154A6" w:rsidRDefault="00D154A6" w:rsidP="00D154A6">
      <w:pPr>
        <w:jc w:val="both"/>
        <w:rPr>
          <w:rFonts w:cs="Calibri"/>
        </w:rPr>
      </w:pPr>
      <w:r w:rsidRPr="00D154A6">
        <w:rPr>
          <w:rFonts w:cs="Calibri"/>
        </w:rPr>
        <w:t xml:space="preserve">This guidance </w:t>
      </w:r>
      <w:r w:rsidRPr="001B1DEA">
        <w:rPr>
          <w:rFonts w:cs="Calibri"/>
          <w:color w:val="000000" w:themeColor="text1"/>
        </w:rPr>
        <w:t xml:space="preserve">has been the product of </w:t>
      </w:r>
      <w:r w:rsidR="00495A5E" w:rsidRPr="001B1DEA">
        <w:rPr>
          <w:rFonts w:cs="Calibri"/>
          <w:color w:val="000000" w:themeColor="text1"/>
        </w:rPr>
        <w:t>collaboration</w:t>
      </w:r>
      <w:r w:rsidRPr="001B1DEA">
        <w:rPr>
          <w:rFonts w:cs="Calibri"/>
          <w:color w:val="000000" w:themeColor="text1"/>
        </w:rPr>
        <w:t xml:space="preserve"> </w:t>
      </w:r>
      <w:r w:rsidR="00495A5E" w:rsidRPr="001B1DEA">
        <w:rPr>
          <w:rFonts w:cs="Calibri"/>
          <w:color w:val="000000" w:themeColor="text1"/>
        </w:rPr>
        <w:t>with input from key</w:t>
      </w:r>
      <w:r w:rsidRPr="001B1DEA">
        <w:rPr>
          <w:rFonts w:cs="Calibri"/>
          <w:color w:val="000000" w:themeColor="text1"/>
        </w:rPr>
        <w:t xml:space="preserve"> stakeholders including </w:t>
      </w:r>
      <w:r w:rsidRPr="00D154A6">
        <w:rPr>
          <w:rFonts w:cs="Calibri"/>
        </w:rPr>
        <w:t xml:space="preserve">responsible officers (ROs), the Royal College of General Practitioners (RCGP), the British Medical Association (BMA) and the General Medical Council (GMC). It is intended to provide clarity and reassurance to doctors with regard to their professional requirements when undertaking a low volume of work, and to aid those appraising such doctors. </w:t>
      </w:r>
      <w:r w:rsidR="00B237C6">
        <w:rPr>
          <w:rFonts w:cs="Calibri"/>
        </w:rPr>
        <w:t xml:space="preserve">There are significant </w:t>
      </w:r>
      <w:r w:rsidRPr="00D154A6">
        <w:rPr>
          <w:rFonts w:cs="Calibri"/>
        </w:rPr>
        <w:t xml:space="preserve">benefits of a </w:t>
      </w:r>
      <w:r w:rsidR="00B237C6">
        <w:rPr>
          <w:rFonts w:cs="Calibri"/>
        </w:rPr>
        <w:t>consistent</w:t>
      </w:r>
      <w:r w:rsidRPr="00D154A6">
        <w:rPr>
          <w:rFonts w:cs="Calibri"/>
        </w:rPr>
        <w:t xml:space="preserve"> approach being adopted across the United Kingdom, supporting the management of doctors working across geographical boundaries and reducing duplication of work. </w:t>
      </w:r>
    </w:p>
    <w:p w14:paraId="191DE630" w14:textId="77777777" w:rsidR="00B237C6" w:rsidRPr="00A21B82" w:rsidRDefault="00B237C6" w:rsidP="00B237C6">
      <w:pPr>
        <w:jc w:val="both"/>
        <w:rPr>
          <w:rFonts w:cs="Calibri"/>
          <w:lang w:val="en-US"/>
        </w:rPr>
      </w:pPr>
      <w:r>
        <w:rPr>
          <w:rFonts w:cs="Calibri"/>
          <w:bCs/>
          <w:lang w:val="en-US"/>
        </w:rPr>
        <w:t>All stakeholders are keen to promote the appraisal system as a supportive and formative process that should aid all doctors in demonstrating their continued competence and planning their professional development. To this end doctors are encouraged to discuss openly their professional aspirations and to incorporate appropriate professional goals in their PDP.</w:t>
      </w:r>
    </w:p>
    <w:p w14:paraId="235A1FE8" w14:textId="77777777" w:rsidR="00B237C6" w:rsidRDefault="00B237C6" w:rsidP="00D154A6">
      <w:pPr>
        <w:jc w:val="both"/>
        <w:rPr>
          <w:rFonts w:cs="Calibri"/>
        </w:rPr>
      </w:pPr>
    </w:p>
    <w:p w14:paraId="1D9BB1D2" w14:textId="77777777" w:rsidR="00D154A6" w:rsidRPr="00C665DD" w:rsidRDefault="00D154A6" w:rsidP="00D154A6">
      <w:pPr>
        <w:keepNext/>
        <w:keepLines/>
        <w:spacing w:before="200" w:after="0"/>
        <w:jc w:val="both"/>
        <w:outlineLvl w:val="2"/>
        <w:rPr>
          <w:rFonts w:ascii="Arial" w:eastAsiaTheme="majorEastAsia" w:hAnsi="Arial" w:cs="Arial"/>
          <w:b/>
          <w:bCs/>
          <w:color w:val="4F81BD" w:themeColor="accent1"/>
          <w:sz w:val="24"/>
          <w:szCs w:val="24"/>
        </w:rPr>
      </w:pPr>
      <w:bookmarkStart w:id="8" w:name="_Toc517951902"/>
      <w:r w:rsidRPr="00C665DD">
        <w:rPr>
          <w:rFonts w:ascii="Arial" w:eastAsiaTheme="majorEastAsia" w:hAnsi="Arial" w:cs="Arial"/>
          <w:b/>
          <w:bCs/>
          <w:color w:val="4F81BD" w:themeColor="accent1"/>
          <w:sz w:val="24"/>
          <w:szCs w:val="24"/>
        </w:rPr>
        <w:t>The professional responsibilities of a doctor</w:t>
      </w:r>
      <w:bookmarkEnd w:id="8"/>
    </w:p>
    <w:p w14:paraId="73439E8D" w14:textId="7254D5D9" w:rsidR="00D154A6" w:rsidRPr="00D154A6" w:rsidRDefault="00D154A6" w:rsidP="00B237C6">
      <w:pPr>
        <w:jc w:val="both"/>
      </w:pPr>
      <w:r w:rsidRPr="00D154A6">
        <w:t xml:space="preserve">All doctors have a professional responsibility to maintain their skill set and knowledge base to ensure that they </w:t>
      </w:r>
      <w:r w:rsidR="00B237C6">
        <w:t>remain up to date and</w:t>
      </w:r>
      <w:r w:rsidRPr="00D154A6">
        <w:t xml:space="preserve"> safe to practise. </w:t>
      </w:r>
    </w:p>
    <w:p w14:paraId="1456BADF" w14:textId="204CCB9E" w:rsidR="00D154A6" w:rsidRDefault="00D154A6" w:rsidP="00D154A6">
      <w:pPr>
        <w:jc w:val="both"/>
      </w:pPr>
      <w:r w:rsidRPr="00D154A6">
        <w:t xml:space="preserve">In the absence of any significant concerns, doctors who provide supporting information consistent with their scope of </w:t>
      </w:r>
      <w:r w:rsidR="00B237C6">
        <w:t>practice</w:t>
      </w:r>
      <w:r w:rsidRPr="00D154A6">
        <w:t xml:space="preserve"> as required by the GMC,</w:t>
      </w:r>
      <w:r w:rsidR="00B237C6">
        <w:t xml:space="preserve"> and recommended by their Royal College or Faculty, and reflect on it</w:t>
      </w:r>
      <w:r w:rsidRPr="00D154A6">
        <w:t xml:space="preserve"> in their annual appraisal, </w:t>
      </w:r>
      <w:r w:rsidR="00B237C6">
        <w:t xml:space="preserve">will </w:t>
      </w:r>
      <w:r w:rsidRPr="00D154A6">
        <w:t xml:space="preserve">demonstrate they are up-to-date and fit </w:t>
      </w:r>
      <w:r w:rsidR="00B237C6">
        <w:t>to practise</w:t>
      </w:r>
      <w:r w:rsidRPr="00D154A6">
        <w:t xml:space="preserve"> and enable their RO</w:t>
      </w:r>
      <w:r w:rsidR="0058729C">
        <w:t>, or Suitable Person,</w:t>
      </w:r>
      <w:r w:rsidRPr="00D154A6">
        <w:t xml:space="preserve"> to make</w:t>
      </w:r>
      <w:r w:rsidR="00B237C6">
        <w:t xml:space="preserve"> </w:t>
      </w:r>
      <w:r w:rsidRPr="00D154A6">
        <w:t>a positive recommendation to the GMC about their revalidation.</w:t>
      </w:r>
    </w:p>
    <w:p w14:paraId="13AF7E46" w14:textId="4D0D59E2" w:rsidR="00D00F71" w:rsidRDefault="00D00F71" w:rsidP="00D00F71">
      <w:pPr>
        <w:jc w:val="both"/>
      </w:pPr>
      <w:r>
        <w:t xml:space="preserve">GPs who are undertaking a low volume of clinical work may lose confidence and need support to assure themselves that they remain up to date and fit to practise in their clinical work. Their annual appraisal provides an opportunity to get that support and reassurance. </w:t>
      </w:r>
    </w:p>
    <w:p w14:paraId="773A30B5" w14:textId="2D383791" w:rsidR="00D00F71" w:rsidRDefault="00D00F71" w:rsidP="00D00F71">
      <w:pPr>
        <w:jc w:val="both"/>
      </w:pPr>
      <w:r>
        <w:t>Where GPs cannot demonstrate that they remain up to date and fit to practise in their clinical work, even with appropriate support, they should relinquish that part of their scope of practice.</w:t>
      </w:r>
    </w:p>
    <w:p w14:paraId="004B7DAF" w14:textId="77777777" w:rsidR="0058729C" w:rsidRPr="00DC2A46" w:rsidRDefault="0058729C" w:rsidP="00D00F71">
      <w:pPr>
        <w:jc w:val="both"/>
      </w:pPr>
    </w:p>
    <w:p w14:paraId="5F7C42F1" w14:textId="68618580" w:rsidR="00D154A6" w:rsidRPr="00D154A6" w:rsidRDefault="0058729C" w:rsidP="00C665DD">
      <w:pPr>
        <w:keepNext/>
        <w:keepLines/>
        <w:spacing w:before="200" w:after="0"/>
        <w:jc w:val="both"/>
        <w:outlineLvl w:val="1"/>
        <w:rPr>
          <w:bCs/>
          <w:lang w:val="en-US"/>
        </w:rPr>
      </w:pPr>
      <w:bookmarkStart w:id="9" w:name="_Toc517951903"/>
      <w:r>
        <w:rPr>
          <w:rFonts w:ascii="Arial" w:eastAsiaTheme="majorEastAsia" w:hAnsi="Arial" w:cs="Arial"/>
          <w:b/>
          <w:bCs/>
          <w:color w:val="4F81BD" w:themeColor="accent1"/>
          <w:sz w:val="24"/>
          <w:szCs w:val="24"/>
        </w:rPr>
        <w:lastRenderedPageBreak/>
        <w:t>Why d</w:t>
      </w:r>
      <w:r w:rsidR="00D154A6" w:rsidRPr="00C665DD">
        <w:rPr>
          <w:rFonts w:ascii="Arial" w:eastAsiaTheme="majorEastAsia" w:hAnsi="Arial" w:cs="Arial"/>
          <w:b/>
          <w:bCs/>
          <w:color w:val="4F81BD" w:themeColor="accent1"/>
          <w:sz w:val="24"/>
          <w:szCs w:val="24"/>
        </w:rPr>
        <w:t>efin</w:t>
      </w:r>
      <w:r>
        <w:rPr>
          <w:rFonts w:ascii="Arial" w:eastAsiaTheme="majorEastAsia" w:hAnsi="Arial" w:cs="Arial"/>
          <w:b/>
          <w:bCs/>
          <w:color w:val="4F81BD" w:themeColor="accent1"/>
          <w:sz w:val="24"/>
          <w:szCs w:val="24"/>
        </w:rPr>
        <w:t>e</w:t>
      </w:r>
      <w:r w:rsidR="00D154A6" w:rsidRPr="00C665DD">
        <w:rPr>
          <w:rFonts w:ascii="Arial" w:eastAsiaTheme="majorEastAsia" w:hAnsi="Arial" w:cs="Arial"/>
          <w:b/>
          <w:bCs/>
          <w:color w:val="4F81BD" w:themeColor="accent1"/>
          <w:sz w:val="24"/>
          <w:szCs w:val="24"/>
        </w:rPr>
        <w:t xml:space="preserve"> a threshold for low volume of clinical work</w:t>
      </w:r>
      <w:r>
        <w:rPr>
          <w:rFonts w:ascii="Arial" w:eastAsiaTheme="majorEastAsia" w:hAnsi="Arial" w:cs="Arial"/>
          <w:b/>
          <w:bCs/>
          <w:color w:val="4F81BD" w:themeColor="accent1"/>
          <w:sz w:val="24"/>
          <w:szCs w:val="24"/>
        </w:rPr>
        <w:t>?</w:t>
      </w:r>
      <w:bookmarkEnd w:id="9"/>
      <w:r w:rsidR="00D154A6" w:rsidRPr="00C665DD">
        <w:rPr>
          <w:rFonts w:ascii="Arial" w:eastAsiaTheme="majorEastAsia" w:hAnsi="Arial" w:cs="Arial"/>
          <w:b/>
          <w:bCs/>
          <w:color w:val="4F81BD" w:themeColor="accent1"/>
          <w:sz w:val="24"/>
          <w:szCs w:val="24"/>
        </w:rPr>
        <w:t xml:space="preserve"> </w:t>
      </w:r>
    </w:p>
    <w:p w14:paraId="4F1F48E6" w14:textId="3E0A2CEF" w:rsidR="00A30621" w:rsidRDefault="00A30621" w:rsidP="00A30621">
      <w:pPr>
        <w:spacing w:after="0"/>
        <w:jc w:val="both"/>
        <w:rPr>
          <w:bCs/>
          <w:lang w:val="en-US"/>
        </w:rPr>
      </w:pPr>
      <w:r>
        <w:rPr>
          <w:bCs/>
          <w:lang w:val="en-US"/>
        </w:rPr>
        <w:t>T</w:t>
      </w:r>
      <w:r w:rsidR="00D154A6" w:rsidRPr="00D154A6">
        <w:rPr>
          <w:bCs/>
          <w:lang w:val="en-US"/>
        </w:rPr>
        <w:t xml:space="preserve">here is no guidance or regulation that currently provides a figure for </w:t>
      </w:r>
      <w:r w:rsidR="0058729C">
        <w:rPr>
          <w:bCs/>
          <w:lang w:val="en-US"/>
        </w:rPr>
        <w:t>a</w:t>
      </w:r>
      <w:r w:rsidR="00D154A6" w:rsidRPr="00D154A6">
        <w:rPr>
          <w:bCs/>
          <w:lang w:val="en-US"/>
        </w:rPr>
        <w:t xml:space="preserve"> minimum </w:t>
      </w:r>
      <w:r w:rsidR="0058729C">
        <w:rPr>
          <w:bCs/>
          <w:lang w:val="en-US"/>
        </w:rPr>
        <w:t>number</w:t>
      </w:r>
      <w:r w:rsidR="00D154A6" w:rsidRPr="00D154A6">
        <w:rPr>
          <w:bCs/>
          <w:lang w:val="en-US"/>
        </w:rPr>
        <w:t xml:space="preserve"> of </w:t>
      </w:r>
      <w:r w:rsidR="00D00F71">
        <w:rPr>
          <w:bCs/>
          <w:lang w:val="en-US"/>
        </w:rPr>
        <w:t xml:space="preserve">clinical </w:t>
      </w:r>
      <w:r w:rsidR="00D154A6" w:rsidRPr="00D154A6">
        <w:rPr>
          <w:bCs/>
          <w:lang w:val="en-US"/>
        </w:rPr>
        <w:t xml:space="preserve">sessions below which further reflection should ordinarily be required </w:t>
      </w:r>
      <w:r w:rsidR="00D00F71">
        <w:rPr>
          <w:bCs/>
          <w:lang w:val="en-US"/>
        </w:rPr>
        <w:t>to provide assurance that this clinical work can be provided safely both for the doctor and for patients</w:t>
      </w:r>
      <w:r w:rsidR="00D154A6" w:rsidRPr="00D154A6">
        <w:rPr>
          <w:bCs/>
          <w:lang w:val="en-US"/>
        </w:rPr>
        <w:t xml:space="preserve">.  This reflects the complexity of general practice and the multiple factors which may need to be considered including the relevance of other aspects of the scope of </w:t>
      </w:r>
      <w:r>
        <w:rPr>
          <w:bCs/>
          <w:lang w:val="en-US"/>
        </w:rPr>
        <w:t>practice</w:t>
      </w:r>
      <w:r w:rsidR="00D154A6" w:rsidRPr="00D154A6">
        <w:rPr>
          <w:bCs/>
          <w:lang w:val="en-US"/>
        </w:rPr>
        <w:t xml:space="preserve">. </w:t>
      </w:r>
      <w:r w:rsidR="00D00F71">
        <w:rPr>
          <w:bCs/>
          <w:lang w:val="en-US"/>
        </w:rPr>
        <w:t>The</w:t>
      </w:r>
      <w:r w:rsidR="00D00F71" w:rsidRPr="00DC2A46">
        <w:rPr>
          <w:bCs/>
          <w:lang w:val="en-US"/>
        </w:rPr>
        <w:t xml:space="preserve"> relevant stakeholders</w:t>
      </w:r>
      <w:r w:rsidR="00D00F71">
        <w:rPr>
          <w:bCs/>
          <w:lang w:val="en-US"/>
        </w:rPr>
        <w:t xml:space="preserve"> have agreed</w:t>
      </w:r>
      <w:r w:rsidR="00D00F71" w:rsidRPr="00DC2A46">
        <w:rPr>
          <w:bCs/>
          <w:lang w:val="en-US"/>
        </w:rPr>
        <w:t xml:space="preserve"> that it is necessary and appropriate to support a consistent and supportive approach to define a benchmark </w:t>
      </w:r>
      <w:r>
        <w:rPr>
          <w:bCs/>
          <w:lang w:val="en-US"/>
        </w:rPr>
        <w:t>for</w:t>
      </w:r>
      <w:r w:rsidR="00D00F71" w:rsidRPr="00DC2A46">
        <w:rPr>
          <w:bCs/>
          <w:lang w:val="en-US"/>
        </w:rPr>
        <w:t xml:space="preserve"> low volume of clinical work.</w:t>
      </w:r>
      <w:r>
        <w:rPr>
          <w:bCs/>
          <w:lang w:val="en-US"/>
        </w:rPr>
        <w:t xml:space="preserve"> It has been agreed that this threshold should be set at 40 sessions of clinical practice for undifferentiated general practice. GPs providing 40 clinical sessions or more per twelve months do not need to reflect further upon their safety purely for reasons of volume of work.</w:t>
      </w:r>
    </w:p>
    <w:p w14:paraId="7E3C8EBF" w14:textId="77777777" w:rsidR="00A30621" w:rsidRPr="00DC2A46" w:rsidRDefault="00A30621" w:rsidP="00A30621">
      <w:pPr>
        <w:spacing w:after="0"/>
        <w:jc w:val="both"/>
        <w:rPr>
          <w:bCs/>
          <w:lang w:val="en-US"/>
        </w:rPr>
      </w:pPr>
    </w:p>
    <w:p w14:paraId="3D20FD4E" w14:textId="710D0FEE" w:rsidR="00D154A6" w:rsidRPr="00D154A6" w:rsidRDefault="00A30621" w:rsidP="00D154A6">
      <w:pPr>
        <w:spacing w:after="0"/>
        <w:jc w:val="both"/>
        <w:rPr>
          <w:bCs/>
          <w:lang w:val="en-US"/>
        </w:rPr>
      </w:pPr>
      <w:r w:rsidRPr="00DC2A46">
        <w:rPr>
          <w:bCs/>
          <w:lang w:val="en-US"/>
        </w:rPr>
        <w:t xml:space="preserve">The purpose of this threshold is to act as a trigger for </w:t>
      </w:r>
      <w:r>
        <w:rPr>
          <w:bCs/>
          <w:lang w:val="en-US"/>
        </w:rPr>
        <w:t xml:space="preserve">reflection and </w:t>
      </w:r>
      <w:r w:rsidRPr="00DC2A46">
        <w:rPr>
          <w:bCs/>
          <w:lang w:val="en-US"/>
        </w:rPr>
        <w:t xml:space="preserve">discussion </w:t>
      </w:r>
      <w:r>
        <w:rPr>
          <w:bCs/>
          <w:lang w:val="en-US"/>
        </w:rPr>
        <w:t xml:space="preserve">taking into consideration the circumstances and the doctor’s personal development goals. It </w:t>
      </w:r>
      <w:r w:rsidRPr="00DC2A46">
        <w:rPr>
          <w:bCs/>
          <w:lang w:val="en-US"/>
        </w:rPr>
        <w:t xml:space="preserve">is </w:t>
      </w:r>
      <w:r>
        <w:rPr>
          <w:bCs/>
          <w:lang w:val="en-US"/>
        </w:rPr>
        <w:t xml:space="preserve">explicitly </w:t>
      </w:r>
      <w:r w:rsidRPr="00DC2A46">
        <w:rPr>
          <w:bCs/>
          <w:lang w:val="en-US"/>
        </w:rPr>
        <w:t xml:space="preserve">not a pass or fail </w:t>
      </w:r>
      <w:r>
        <w:rPr>
          <w:bCs/>
          <w:lang w:val="en-US"/>
        </w:rPr>
        <w:t xml:space="preserve">threshold </w:t>
      </w:r>
      <w:r w:rsidRPr="00DC2A46">
        <w:rPr>
          <w:bCs/>
          <w:lang w:val="en-US"/>
        </w:rPr>
        <w:t>for the doctor</w:t>
      </w:r>
      <w:r>
        <w:rPr>
          <w:bCs/>
          <w:lang w:val="en-US"/>
        </w:rPr>
        <w:t xml:space="preserve">. It is a threshold triggering a process of structured reflective practice for the doctor and support and discussion during annual appraisal. </w:t>
      </w:r>
    </w:p>
    <w:p w14:paraId="25BE6103" w14:textId="77777777" w:rsidR="00D154A6" w:rsidRPr="00C665DD" w:rsidRDefault="00D154A6" w:rsidP="00D154A6">
      <w:pPr>
        <w:keepNext/>
        <w:keepLines/>
        <w:spacing w:before="200" w:after="0"/>
        <w:jc w:val="both"/>
        <w:outlineLvl w:val="2"/>
        <w:rPr>
          <w:rFonts w:ascii="Arial" w:eastAsiaTheme="majorEastAsia" w:hAnsi="Arial" w:cs="Arial"/>
          <w:b/>
          <w:bCs/>
          <w:color w:val="4F81BD" w:themeColor="accent1"/>
          <w:sz w:val="24"/>
          <w:szCs w:val="24"/>
        </w:rPr>
      </w:pPr>
      <w:bookmarkStart w:id="10" w:name="_Toc501044038"/>
      <w:bookmarkStart w:id="11" w:name="_Toc501045325"/>
      <w:bookmarkStart w:id="12" w:name="_Toc517951904"/>
      <w:r w:rsidRPr="00C665DD">
        <w:rPr>
          <w:rFonts w:ascii="Arial" w:eastAsiaTheme="majorEastAsia" w:hAnsi="Arial" w:cs="Arial"/>
          <w:b/>
          <w:bCs/>
          <w:color w:val="4F81BD" w:themeColor="accent1"/>
          <w:sz w:val="24"/>
          <w:szCs w:val="24"/>
        </w:rPr>
        <w:t>A consistent, transparent and supportive approach</w:t>
      </w:r>
      <w:bookmarkEnd w:id="10"/>
      <w:bookmarkEnd w:id="11"/>
      <w:bookmarkEnd w:id="12"/>
    </w:p>
    <w:p w14:paraId="139C6CDC" w14:textId="5B1E663A" w:rsidR="00D154A6" w:rsidRPr="00D154A6" w:rsidRDefault="00D154A6" w:rsidP="00D154A6">
      <w:pPr>
        <w:jc w:val="both"/>
        <w:rPr>
          <w:rFonts w:cs="Calibri"/>
          <w:bCs/>
          <w:lang w:val="en-US"/>
        </w:rPr>
      </w:pPr>
      <w:r w:rsidRPr="00D154A6">
        <w:rPr>
          <w:rFonts w:cs="Calibri"/>
          <w:bCs/>
          <w:lang w:val="en-US"/>
        </w:rPr>
        <w:t>An explicit framework for reflecti</w:t>
      </w:r>
      <w:r w:rsidR="00A30621">
        <w:rPr>
          <w:rFonts w:cs="Calibri"/>
          <w:bCs/>
          <w:lang w:val="en-US"/>
        </w:rPr>
        <w:t xml:space="preserve">on and </w:t>
      </w:r>
      <w:r w:rsidRPr="00D154A6">
        <w:rPr>
          <w:rFonts w:cs="Calibri"/>
          <w:bCs/>
          <w:lang w:val="en-US"/>
        </w:rPr>
        <w:t xml:space="preserve">discussion </w:t>
      </w:r>
      <w:r w:rsidR="00A30621">
        <w:rPr>
          <w:rFonts w:cs="Calibri"/>
          <w:bCs/>
          <w:lang w:val="en-US"/>
        </w:rPr>
        <w:t>has been designed by the stakeholders to</w:t>
      </w:r>
      <w:r w:rsidRPr="00D154A6">
        <w:rPr>
          <w:rFonts w:cs="Calibri"/>
          <w:bCs/>
          <w:lang w:val="en-US"/>
        </w:rPr>
        <w:t xml:space="preserve"> be used in the appraisal of doctors who work fewer than 40 clinical sessions a year. Th</w:t>
      </w:r>
      <w:r w:rsidR="00A30621">
        <w:rPr>
          <w:rFonts w:cs="Calibri"/>
          <w:bCs/>
          <w:lang w:val="en-US"/>
        </w:rPr>
        <w:t>e reflection and</w:t>
      </w:r>
      <w:r w:rsidRPr="00D154A6">
        <w:rPr>
          <w:rFonts w:cs="Calibri"/>
          <w:bCs/>
          <w:lang w:val="en-US"/>
        </w:rPr>
        <w:t xml:space="preserve"> discussion should reassure the </w:t>
      </w:r>
      <w:r w:rsidR="00A30621">
        <w:rPr>
          <w:rFonts w:cs="Calibri"/>
          <w:bCs/>
          <w:lang w:val="en-US"/>
        </w:rPr>
        <w:t xml:space="preserve">GP, and the </w:t>
      </w:r>
      <w:r w:rsidRPr="00D154A6">
        <w:rPr>
          <w:rFonts w:cs="Calibri"/>
          <w:bCs/>
          <w:lang w:val="en-US"/>
        </w:rPr>
        <w:t>appraiser</w:t>
      </w:r>
      <w:r w:rsidR="00A30621">
        <w:rPr>
          <w:rFonts w:cs="Calibri"/>
          <w:bCs/>
          <w:lang w:val="en-US"/>
        </w:rPr>
        <w:t>,</w:t>
      </w:r>
      <w:r w:rsidRPr="00D154A6">
        <w:rPr>
          <w:rFonts w:cs="Calibri"/>
          <w:bCs/>
          <w:lang w:val="en-US"/>
        </w:rPr>
        <w:t xml:space="preserve"> of the ability of the doctor to provide safe quality care for patients by considering:</w:t>
      </w:r>
    </w:p>
    <w:p w14:paraId="7308F34F" w14:textId="77777777" w:rsidR="00D154A6" w:rsidRPr="00D154A6" w:rsidRDefault="00D154A6" w:rsidP="00D154A6">
      <w:pPr>
        <w:numPr>
          <w:ilvl w:val="0"/>
          <w:numId w:val="4"/>
        </w:numPr>
        <w:spacing w:after="0" w:line="240" w:lineRule="auto"/>
        <w:jc w:val="both"/>
        <w:rPr>
          <w:rFonts w:cs="Calibri"/>
          <w:bCs/>
          <w:lang w:val="en-US"/>
        </w:rPr>
      </w:pPr>
      <w:r w:rsidRPr="00D154A6">
        <w:rPr>
          <w:rFonts w:cs="Calibri"/>
          <w:bCs/>
          <w:lang w:val="en-US"/>
        </w:rPr>
        <w:t>Patient safety</w:t>
      </w:r>
    </w:p>
    <w:p w14:paraId="396B112A" w14:textId="3FDD1DB4" w:rsidR="00D154A6" w:rsidRPr="00D154A6" w:rsidRDefault="00D154A6" w:rsidP="00D154A6">
      <w:pPr>
        <w:numPr>
          <w:ilvl w:val="0"/>
          <w:numId w:val="4"/>
        </w:numPr>
        <w:spacing w:after="0" w:line="240" w:lineRule="auto"/>
        <w:jc w:val="both"/>
        <w:rPr>
          <w:rFonts w:cs="Calibri"/>
          <w:bCs/>
          <w:color w:val="000000" w:themeColor="text1"/>
          <w:lang w:val="en-US"/>
        </w:rPr>
      </w:pPr>
      <w:r w:rsidRPr="00D154A6">
        <w:rPr>
          <w:rFonts w:cs="Calibri"/>
          <w:bCs/>
          <w:lang w:val="en-US"/>
        </w:rPr>
        <w:t>Sup</w:t>
      </w:r>
      <w:r w:rsidRPr="00D154A6">
        <w:rPr>
          <w:rFonts w:cs="Calibri"/>
          <w:bCs/>
          <w:color w:val="000000" w:themeColor="text1"/>
          <w:lang w:val="en-US"/>
        </w:rPr>
        <w:t xml:space="preserve">port for the doctor to retain and develop their skills across their </w:t>
      </w:r>
      <w:r w:rsidR="00A30621">
        <w:rPr>
          <w:rFonts w:cs="Calibri"/>
          <w:bCs/>
          <w:color w:val="000000" w:themeColor="text1"/>
          <w:lang w:val="en-US"/>
        </w:rPr>
        <w:t xml:space="preserve">clinical </w:t>
      </w:r>
      <w:r w:rsidRPr="00D154A6">
        <w:rPr>
          <w:rFonts w:cs="Calibri"/>
          <w:bCs/>
          <w:color w:val="000000" w:themeColor="text1"/>
          <w:lang w:val="en-US"/>
        </w:rPr>
        <w:t xml:space="preserve">scope of </w:t>
      </w:r>
      <w:r w:rsidR="00A30621">
        <w:rPr>
          <w:rFonts w:cs="Calibri"/>
          <w:bCs/>
          <w:color w:val="000000" w:themeColor="text1"/>
          <w:lang w:val="en-US"/>
        </w:rPr>
        <w:t>practice</w:t>
      </w:r>
    </w:p>
    <w:p w14:paraId="5B7E4EA6" w14:textId="202BD1D0" w:rsidR="00D154A6" w:rsidRPr="00D154A6" w:rsidRDefault="00D154A6" w:rsidP="00D154A6">
      <w:pPr>
        <w:numPr>
          <w:ilvl w:val="0"/>
          <w:numId w:val="4"/>
        </w:numPr>
        <w:spacing w:after="0" w:line="240" w:lineRule="auto"/>
        <w:jc w:val="both"/>
        <w:rPr>
          <w:rFonts w:cs="Calibri"/>
          <w:bCs/>
          <w:color w:val="000000" w:themeColor="text1"/>
          <w:lang w:val="en-US"/>
        </w:rPr>
      </w:pPr>
      <w:r w:rsidRPr="00D154A6">
        <w:rPr>
          <w:rFonts w:cs="Calibri"/>
          <w:bCs/>
          <w:color w:val="000000" w:themeColor="text1"/>
          <w:lang w:val="en-US"/>
        </w:rPr>
        <w:t xml:space="preserve">Actions to enable the doctor to flourish within their </w:t>
      </w:r>
      <w:r w:rsidR="00A30621">
        <w:rPr>
          <w:rFonts w:cs="Calibri"/>
          <w:bCs/>
          <w:color w:val="000000" w:themeColor="text1"/>
          <w:lang w:val="en-US"/>
        </w:rPr>
        <w:t xml:space="preserve">clinical </w:t>
      </w:r>
      <w:r w:rsidR="00A30621" w:rsidRPr="00D154A6">
        <w:rPr>
          <w:rFonts w:cs="Calibri"/>
          <w:bCs/>
          <w:color w:val="000000" w:themeColor="text1"/>
          <w:lang w:val="en-US"/>
        </w:rPr>
        <w:t xml:space="preserve">scope of </w:t>
      </w:r>
      <w:r w:rsidR="00A30621">
        <w:rPr>
          <w:rFonts w:cs="Calibri"/>
          <w:bCs/>
          <w:color w:val="000000" w:themeColor="text1"/>
          <w:lang w:val="en-US"/>
        </w:rPr>
        <w:t>practice</w:t>
      </w:r>
    </w:p>
    <w:p w14:paraId="179C20B5" w14:textId="77777777" w:rsidR="00D154A6" w:rsidRPr="00D154A6" w:rsidRDefault="00D154A6" w:rsidP="00D154A6">
      <w:pPr>
        <w:spacing w:after="0" w:line="240" w:lineRule="auto"/>
        <w:ind w:left="720"/>
        <w:jc w:val="both"/>
        <w:rPr>
          <w:rFonts w:cs="Calibri"/>
          <w:bCs/>
          <w:color w:val="000000" w:themeColor="text1"/>
          <w:lang w:val="en-US"/>
        </w:rPr>
      </w:pPr>
    </w:p>
    <w:p w14:paraId="5B9F7088" w14:textId="0B6443ED" w:rsidR="00D154A6" w:rsidRDefault="00D154A6" w:rsidP="00D154A6">
      <w:pPr>
        <w:jc w:val="both"/>
        <w:rPr>
          <w:rFonts w:cs="Calibri"/>
          <w:bCs/>
          <w:color w:val="000000" w:themeColor="text1"/>
          <w:lang w:val="en-US"/>
        </w:rPr>
      </w:pPr>
      <w:r w:rsidRPr="00D154A6">
        <w:rPr>
          <w:rFonts w:cs="Calibri"/>
          <w:bCs/>
          <w:color w:val="000000" w:themeColor="text1"/>
          <w:lang w:val="en-US"/>
        </w:rPr>
        <w:t>This approach has the focus of supporting the professionalism and insight of the doctor</w:t>
      </w:r>
      <w:r w:rsidR="00A30621">
        <w:rPr>
          <w:rFonts w:cs="Calibri"/>
          <w:bCs/>
          <w:color w:val="000000" w:themeColor="text1"/>
          <w:lang w:val="en-US"/>
        </w:rPr>
        <w:t>.</w:t>
      </w:r>
    </w:p>
    <w:p w14:paraId="41FBB9A0" w14:textId="1BAD8CF5" w:rsidR="00BD1565" w:rsidRPr="00C665DD" w:rsidRDefault="00D154A6" w:rsidP="00D154A6">
      <w:pPr>
        <w:keepNext/>
        <w:keepLines/>
        <w:spacing w:before="200" w:after="0"/>
        <w:jc w:val="both"/>
        <w:outlineLvl w:val="1"/>
        <w:rPr>
          <w:rFonts w:ascii="Arial" w:eastAsiaTheme="majorEastAsia" w:hAnsi="Arial" w:cs="Arial"/>
          <w:b/>
          <w:bCs/>
          <w:color w:val="4F81BD" w:themeColor="accent1"/>
          <w:sz w:val="24"/>
          <w:szCs w:val="24"/>
          <w:lang w:val="en-US"/>
        </w:rPr>
      </w:pPr>
      <w:bookmarkStart w:id="13" w:name="_Toc501044039"/>
      <w:bookmarkStart w:id="14" w:name="_Toc501045326"/>
      <w:bookmarkStart w:id="15" w:name="_Toc517951905"/>
      <w:r w:rsidRPr="00C665DD">
        <w:rPr>
          <w:rFonts w:ascii="Arial" w:eastAsiaTheme="majorEastAsia" w:hAnsi="Arial" w:cs="Arial"/>
          <w:b/>
          <w:bCs/>
          <w:color w:val="4F81BD" w:themeColor="accent1"/>
          <w:sz w:val="24"/>
          <w:szCs w:val="24"/>
          <w:lang w:val="en-US"/>
        </w:rPr>
        <w:t xml:space="preserve">Use of </w:t>
      </w:r>
      <w:r w:rsidR="0058729C">
        <w:rPr>
          <w:rFonts w:ascii="Arial" w:eastAsiaTheme="majorEastAsia" w:hAnsi="Arial" w:cs="Arial"/>
          <w:b/>
          <w:bCs/>
          <w:color w:val="4F81BD" w:themeColor="accent1"/>
          <w:sz w:val="24"/>
          <w:szCs w:val="24"/>
          <w:lang w:val="en-US"/>
        </w:rPr>
        <w:t xml:space="preserve">the </w:t>
      </w:r>
      <w:r w:rsidR="008B26B8">
        <w:rPr>
          <w:rFonts w:ascii="Arial" w:eastAsiaTheme="majorEastAsia" w:hAnsi="Arial" w:cs="Arial"/>
          <w:b/>
          <w:bCs/>
          <w:color w:val="4F81BD" w:themeColor="accent1"/>
          <w:sz w:val="24"/>
          <w:szCs w:val="24"/>
          <w:lang w:val="en-US"/>
        </w:rPr>
        <w:t>l</w:t>
      </w:r>
      <w:r w:rsidRPr="00C665DD">
        <w:rPr>
          <w:rFonts w:ascii="Arial" w:eastAsiaTheme="majorEastAsia" w:hAnsi="Arial" w:cs="Arial"/>
          <w:b/>
          <w:bCs/>
          <w:color w:val="4F81BD" w:themeColor="accent1"/>
          <w:sz w:val="24"/>
          <w:szCs w:val="24"/>
          <w:lang w:val="en-US"/>
        </w:rPr>
        <w:t xml:space="preserve">ow volume </w:t>
      </w:r>
      <w:r w:rsidR="0058729C">
        <w:rPr>
          <w:rFonts w:ascii="Arial" w:eastAsiaTheme="majorEastAsia" w:hAnsi="Arial" w:cs="Arial"/>
          <w:b/>
          <w:bCs/>
          <w:color w:val="4F81BD" w:themeColor="accent1"/>
          <w:sz w:val="24"/>
          <w:szCs w:val="24"/>
          <w:lang w:val="en-US"/>
        </w:rPr>
        <w:t xml:space="preserve">of clinical work </w:t>
      </w:r>
      <w:r w:rsidRPr="00C665DD">
        <w:rPr>
          <w:rFonts w:ascii="Arial" w:eastAsiaTheme="majorEastAsia" w:hAnsi="Arial" w:cs="Arial"/>
          <w:b/>
          <w:bCs/>
          <w:color w:val="4F81BD" w:themeColor="accent1"/>
          <w:sz w:val="24"/>
          <w:szCs w:val="24"/>
          <w:lang w:val="en-US"/>
        </w:rPr>
        <w:t xml:space="preserve">SRT in </w:t>
      </w:r>
      <w:bookmarkEnd w:id="13"/>
      <w:bookmarkEnd w:id="14"/>
      <w:r w:rsidR="0058729C">
        <w:rPr>
          <w:rFonts w:ascii="Arial" w:eastAsiaTheme="majorEastAsia" w:hAnsi="Arial" w:cs="Arial"/>
          <w:b/>
          <w:bCs/>
          <w:color w:val="4F81BD" w:themeColor="accent1"/>
          <w:sz w:val="24"/>
          <w:szCs w:val="24"/>
          <w:lang w:val="en-US"/>
        </w:rPr>
        <w:t>annual appraisal</w:t>
      </w:r>
      <w:bookmarkEnd w:id="15"/>
    </w:p>
    <w:p w14:paraId="3FC022C9" w14:textId="77777777" w:rsidR="003C67E3" w:rsidRDefault="00D154A6" w:rsidP="003C67E3">
      <w:pPr>
        <w:pStyle w:val="ListParagraph"/>
        <w:numPr>
          <w:ilvl w:val="0"/>
          <w:numId w:val="21"/>
        </w:numPr>
        <w:jc w:val="both"/>
        <w:rPr>
          <w:rFonts w:cs="Calibri"/>
          <w:bCs/>
          <w:lang w:val="en-US"/>
        </w:rPr>
      </w:pPr>
      <w:r w:rsidRPr="003C67E3">
        <w:rPr>
          <w:rFonts w:cs="Calibri"/>
          <w:bCs/>
          <w:lang w:val="en-US"/>
        </w:rPr>
        <w:t xml:space="preserve">During the annual appraisal, </w:t>
      </w:r>
      <w:r w:rsidR="003C67E3">
        <w:rPr>
          <w:rFonts w:cs="Calibri"/>
          <w:bCs/>
          <w:lang w:val="en-US"/>
        </w:rPr>
        <w:t>the GP should declare</w:t>
      </w:r>
      <w:r w:rsidRPr="003C67E3">
        <w:rPr>
          <w:rFonts w:cs="Calibri"/>
          <w:bCs/>
          <w:lang w:val="en-US"/>
        </w:rPr>
        <w:t xml:space="preserve"> that they have </w:t>
      </w:r>
      <w:r w:rsidR="00A30621" w:rsidRPr="003C67E3">
        <w:rPr>
          <w:rFonts w:cs="Calibri"/>
          <w:bCs/>
          <w:lang w:val="en-US"/>
        </w:rPr>
        <w:t>worked</w:t>
      </w:r>
      <w:r w:rsidRPr="003C67E3">
        <w:rPr>
          <w:rFonts w:cs="Calibri"/>
          <w:bCs/>
          <w:lang w:val="en-US"/>
        </w:rPr>
        <w:t xml:space="preserve"> fewer than 40 </w:t>
      </w:r>
      <w:r w:rsidR="00A30621" w:rsidRPr="003C67E3">
        <w:rPr>
          <w:rFonts w:cs="Calibri"/>
          <w:bCs/>
          <w:lang w:val="en-US"/>
        </w:rPr>
        <w:t xml:space="preserve">clinical </w:t>
      </w:r>
      <w:r w:rsidRPr="003C67E3">
        <w:rPr>
          <w:rFonts w:cs="Calibri"/>
          <w:bCs/>
          <w:lang w:val="en-US"/>
        </w:rPr>
        <w:t>sessions in the 12 months</w:t>
      </w:r>
      <w:r w:rsidR="00A30621" w:rsidRPr="003C67E3">
        <w:rPr>
          <w:rFonts w:cs="Calibri"/>
          <w:bCs/>
          <w:lang w:val="en-US"/>
        </w:rPr>
        <w:t xml:space="preserve"> since their last appraisal (or pro rata)</w:t>
      </w:r>
    </w:p>
    <w:p w14:paraId="3718A3EF" w14:textId="20F5AFAC" w:rsidR="003C67E3" w:rsidRDefault="003C67E3" w:rsidP="003C67E3">
      <w:pPr>
        <w:pStyle w:val="ListParagraph"/>
        <w:numPr>
          <w:ilvl w:val="0"/>
          <w:numId w:val="21"/>
        </w:numPr>
        <w:jc w:val="both"/>
        <w:rPr>
          <w:rFonts w:cs="Calibri"/>
          <w:bCs/>
          <w:lang w:val="en-US"/>
        </w:rPr>
      </w:pPr>
      <w:r>
        <w:rPr>
          <w:rFonts w:cs="Calibri"/>
          <w:bCs/>
          <w:lang w:val="en-US"/>
        </w:rPr>
        <w:t>The GP</w:t>
      </w:r>
      <w:r w:rsidR="00D154A6" w:rsidRPr="003C67E3">
        <w:rPr>
          <w:rFonts w:cs="Calibri"/>
          <w:bCs/>
          <w:lang w:val="en-US"/>
        </w:rPr>
        <w:t xml:space="preserve"> should include within their Quality Improvement Activity (QIA) a </w:t>
      </w:r>
      <w:r w:rsidRPr="003C67E3">
        <w:rPr>
          <w:rFonts w:cs="Calibri"/>
          <w:bCs/>
          <w:lang w:val="en-US"/>
        </w:rPr>
        <w:t xml:space="preserve">low volume of clinical work </w:t>
      </w:r>
      <w:r w:rsidR="00D154A6" w:rsidRPr="003C67E3">
        <w:rPr>
          <w:rFonts w:cs="Calibri"/>
          <w:bCs/>
          <w:lang w:val="en-US"/>
        </w:rPr>
        <w:t>structured reflective template (</w:t>
      </w:r>
      <w:r>
        <w:rPr>
          <w:rFonts w:cs="Calibri"/>
          <w:bCs/>
          <w:lang w:val="en-US"/>
        </w:rPr>
        <w:t xml:space="preserve">LVCW </w:t>
      </w:r>
      <w:r w:rsidR="00D154A6" w:rsidRPr="003C67E3">
        <w:rPr>
          <w:rFonts w:cs="Calibri"/>
          <w:bCs/>
          <w:lang w:val="en-US"/>
        </w:rPr>
        <w:t xml:space="preserve">SRT) to demonstrate </w:t>
      </w:r>
      <w:r w:rsidR="0058729C">
        <w:rPr>
          <w:rFonts w:cs="Calibri"/>
          <w:bCs/>
          <w:lang w:val="en-US"/>
        </w:rPr>
        <w:t>their reflection</w:t>
      </w:r>
      <w:r w:rsidR="00D154A6" w:rsidRPr="003C67E3">
        <w:rPr>
          <w:rFonts w:cs="Calibri"/>
          <w:bCs/>
          <w:lang w:val="en-US"/>
        </w:rPr>
        <w:t xml:space="preserve"> on their continued ability to provide safe qu</w:t>
      </w:r>
      <w:r w:rsidR="0058729C">
        <w:rPr>
          <w:rFonts w:cs="Calibri"/>
          <w:bCs/>
          <w:lang w:val="en-US"/>
        </w:rPr>
        <w:t>ality patient care</w:t>
      </w:r>
      <w:r w:rsidR="00D154A6" w:rsidRPr="003C67E3">
        <w:rPr>
          <w:rFonts w:cs="Calibri"/>
          <w:bCs/>
          <w:lang w:val="en-US"/>
        </w:rPr>
        <w:t xml:space="preserve"> </w:t>
      </w:r>
    </w:p>
    <w:p w14:paraId="721695D7" w14:textId="1F2BB7BB" w:rsidR="003C67E3" w:rsidRDefault="00D154A6" w:rsidP="003C67E3">
      <w:pPr>
        <w:pStyle w:val="ListParagraph"/>
        <w:numPr>
          <w:ilvl w:val="0"/>
          <w:numId w:val="21"/>
        </w:numPr>
        <w:jc w:val="both"/>
        <w:rPr>
          <w:rFonts w:cs="Calibri"/>
          <w:bCs/>
          <w:lang w:val="en-US"/>
        </w:rPr>
      </w:pPr>
      <w:r w:rsidRPr="003C67E3">
        <w:rPr>
          <w:rFonts w:cs="Calibri"/>
          <w:bCs/>
          <w:lang w:val="en-US"/>
        </w:rPr>
        <w:t xml:space="preserve">This </w:t>
      </w:r>
      <w:r w:rsidR="00EC23BE">
        <w:rPr>
          <w:rFonts w:cs="Calibri"/>
          <w:bCs/>
          <w:lang w:val="en-US"/>
        </w:rPr>
        <w:t xml:space="preserve">LVCW </w:t>
      </w:r>
      <w:r w:rsidRPr="003C67E3">
        <w:rPr>
          <w:rFonts w:cs="Calibri"/>
          <w:bCs/>
          <w:lang w:val="en-US"/>
        </w:rPr>
        <w:t xml:space="preserve">SRT should form the basis of </w:t>
      </w:r>
      <w:r w:rsidR="00BD1565">
        <w:rPr>
          <w:rFonts w:cs="Calibri"/>
          <w:bCs/>
          <w:lang w:val="en-US"/>
        </w:rPr>
        <w:t>a</w:t>
      </w:r>
      <w:r w:rsidRPr="003C67E3">
        <w:rPr>
          <w:rFonts w:cs="Calibri"/>
          <w:bCs/>
          <w:lang w:val="en-US"/>
        </w:rPr>
        <w:t xml:space="preserve"> professional discussion with the appraiser</w:t>
      </w:r>
    </w:p>
    <w:p w14:paraId="15E7D794" w14:textId="6B344172" w:rsidR="003C67E3" w:rsidRDefault="003C67E3" w:rsidP="003C67E3">
      <w:pPr>
        <w:pStyle w:val="ListParagraph"/>
        <w:numPr>
          <w:ilvl w:val="0"/>
          <w:numId w:val="21"/>
        </w:numPr>
        <w:jc w:val="both"/>
        <w:rPr>
          <w:rFonts w:cs="Calibri"/>
          <w:bCs/>
          <w:lang w:val="en-US"/>
        </w:rPr>
      </w:pPr>
      <w:r>
        <w:rPr>
          <w:rFonts w:cs="Calibri"/>
          <w:bCs/>
          <w:lang w:val="en-US"/>
        </w:rPr>
        <w:t>The appraiser should</w:t>
      </w:r>
      <w:r w:rsidRPr="003C67E3">
        <w:rPr>
          <w:rFonts w:cs="Calibri"/>
          <w:bCs/>
          <w:lang w:val="en-US"/>
        </w:rPr>
        <w:t xml:space="preserve"> </w:t>
      </w:r>
      <w:r w:rsidR="00EC23BE">
        <w:rPr>
          <w:rFonts w:cs="Calibri"/>
          <w:bCs/>
          <w:lang w:val="en-US"/>
        </w:rPr>
        <w:t xml:space="preserve">make a </w:t>
      </w:r>
      <w:r w:rsidRPr="003C67E3">
        <w:rPr>
          <w:rFonts w:cs="Calibri"/>
          <w:bCs/>
          <w:lang w:val="en-US"/>
        </w:rPr>
        <w:t xml:space="preserve">record </w:t>
      </w:r>
      <w:r w:rsidR="00EC23BE">
        <w:rPr>
          <w:rFonts w:cs="Calibri"/>
          <w:bCs/>
          <w:lang w:val="en-US"/>
        </w:rPr>
        <w:t xml:space="preserve">of </w:t>
      </w:r>
      <w:r w:rsidRPr="003C67E3">
        <w:rPr>
          <w:rFonts w:cs="Calibri"/>
          <w:bCs/>
          <w:lang w:val="en-US"/>
        </w:rPr>
        <w:t xml:space="preserve">the reflective discussion relating to the </w:t>
      </w:r>
      <w:r w:rsidR="00EC23BE">
        <w:rPr>
          <w:rFonts w:cs="Calibri"/>
          <w:bCs/>
          <w:lang w:val="en-US"/>
        </w:rPr>
        <w:t xml:space="preserve">LVCW </w:t>
      </w:r>
      <w:r w:rsidRPr="003C67E3">
        <w:rPr>
          <w:rFonts w:cs="Calibri"/>
          <w:bCs/>
          <w:lang w:val="en-US"/>
        </w:rPr>
        <w:t>SRT in the appraisal summary. Th</w:t>
      </w:r>
      <w:r w:rsidR="00EC23BE">
        <w:rPr>
          <w:rFonts w:cs="Calibri"/>
          <w:bCs/>
          <w:lang w:val="en-US"/>
        </w:rPr>
        <w:t>e reflection and discussion</w:t>
      </w:r>
      <w:r w:rsidRPr="003C67E3">
        <w:rPr>
          <w:rFonts w:cs="Calibri"/>
          <w:bCs/>
          <w:lang w:val="en-US"/>
        </w:rPr>
        <w:t xml:space="preserve"> should provide appropriate supporting information for the appraiser to mak</w:t>
      </w:r>
      <w:r w:rsidR="0058729C">
        <w:rPr>
          <w:rFonts w:cs="Calibri"/>
          <w:bCs/>
          <w:lang w:val="en-US"/>
        </w:rPr>
        <w:t>e affirmative output statements</w:t>
      </w:r>
      <w:r w:rsidR="00BD1565">
        <w:rPr>
          <w:rFonts w:cs="Calibri"/>
          <w:bCs/>
          <w:lang w:val="en-US"/>
        </w:rPr>
        <w:t xml:space="preserve"> at the end of the appraisal</w:t>
      </w:r>
      <w:r w:rsidRPr="003C67E3">
        <w:rPr>
          <w:rFonts w:cs="Calibri"/>
          <w:bCs/>
          <w:lang w:val="en-US"/>
        </w:rPr>
        <w:t xml:space="preserve"> </w:t>
      </w:r>
    </w:p>
    <w:p w14:paraId="3324F453" w14:textId="138DCCEF" w:rsidR="00A30621" w:rsidRPr="003C67E3" w:rsidRDefault="003C67E3" w:rsidP="003C67E3">
      <w:pPr>
        <w:pStyle w:val="ListParagraph"/>
        <w:numPr>
          <w:ilvl w:val="0"/>
          <w:numId w:val="21"/>
        </w:numPr>
        <w:jc w:val="both"/>
        <w:rPr>
          <w:rFonts w:cs="Calibri"/>
          <w:bCs/>
          <w:lang w:val="en-US"/>
        </w:rPr>
      </w:pPr>
      <w:r w:rsidRPr="003C67E3">
        <w:rPr>
          <w:rFonts w:cs="Calibri"/>
          <w:bCs/>
          <w:lang w:val="en-US"/>
        </w:rPr>
        <w:t xml:space="preserve">In the rare circumstance that </w:t>
      </w:r>
      <w:r>
        <w:rPr>
          <w:rFonts w:cs="Calibri"/>
          <w:bCs/>
          <w:lang w:val="en-US"/>
        </w:rPr>
        <w:t>the reflection and discussion</w:t>
      </w:r>
      <w:r w:rsidRPr="003C67E3">
        <w:rPr>
          <w:rFonts w:cs="Calibri"/>
          <w:bCs/>
          <w:lang w:val="en-US"/>
        </w:rPr>
        <w:t xml:space="preserve"> does not</w:t>
      </w:r>
      <w:r>
        <w:rPr>
          <w:rFonts w:cs="Calibri"/>
          <w:bCs/>
          <w:lang w:val="en-US"/>
        </w:rPr>
        <w:t xml:space="preserve"> provide immediate reassurance that the GP is able to provide safe clinical care</w:t>
      </w:r>
      <w:r w:rsidRPr="003C67E3">
        <w:rPr>
          <w:rFonts w:cs="Calibri"/>
          <w:bCs/>
          <w:lang w:val="en-US"/>
        </w:rPr>
        <w:t xml:space="preserve">, </w:t>
      </w:r>
      <w:r w:rsidR="00BD1565">
        <w:rPr>
          <w:rFonts w:cs="Calibri"/>
          <w:bCs/>
          <w:lang w:val="en-US"/>
        </w:rPr>
        <w:t xml:space="preserve">relevant output statements will be disagreed, </w:t>
      </w:r>
      <w:r w:rsidRPr="003C67E3">
        <w:rPr>
          <w:rFonts w:cs="Calibri"/>
          <w:bCs/>
          <w:lang w:val="en-US"/>
        </w:rPr>
        <w:t xml:space="preserve">an explanation must be given and </w:t>
      </w:r>
      <w:r>
        <w:rPr>
          <w:rFonts w:cs="Calibri"/>
          <w:bCs/>
          <w:lang w:val="en-US"/>
        </w:rPr>
        <w:t>any</w:t>
      </w:r>
      <w:r w:rsidRPr="003C67E3">
        <w:rPr>
          <w:rFonts w:cs="Calibri"/>
          <w:bCs/>
          <w:lang w:val="en-US"/>
        </w:rPr>
        <w:t xml:space="preserve"> issues addressed through appropriate PDP goals.</w:t>
      </w:r>
      <w:r>
        <w:rPr>
          <w:rFonts w:cs="Calibri"/>
          <w:bCs/>
          <w:lang w:val="en-US"/>
        </w:rPr>
        <w:t xml:space="preserve"> In these cases, the RO will need to be informed. In extreme cases, the GP will need to rel</w:t>
      </w:r>
      <w:r w:rsidR="0058729C">
        <w:rPr>
          <w:rFonts w:cs="Calibri"/>
          <w:bCs/>
          <w:lang w:val="en-US"/>
        </w:rPr>
        <w:t>inquish their clinical practice</w:t>
      </w:r>
    </w:p>
    <w:p w14:paraId="64C06326" w14:textId="62810B1D" w:rsidR="00BD1565" w:rsidRPr="00BD1565" w:rsidRDefault="00BD1565" w:rsidP="00BD1565">
      <w:pPr>
        <w:keepNext/>
        <w:keepLines/>
        <w:spacing w:before="200" w:after="0"/>
        <w:jc w:val="both"/>
        <w:outlineLvl w:val="1"/>
        <w:rPr>
          <w:rFonts w:ascii="Arial" w:eastAsiaTheme="majorEastAsia" w:hAnsi="Arial" w:cs="Arial"/>
          <w:b/>
          <w:bCs/>
          <w:color w:val="4F81BD" w:themeColor="accent1"/>
          <w:sz w:val="24"/>
          <w:szCs w:val="24"/>
          <w:lang w:val="en-US"/>
        </w:rPr>
      </w:pPr>
      <w:bookmarkStart w:id="16" w:name="_Toc517951906"/>
      <w:r w:rsidRPr="00BD1565">
        <w:rPr>
          <w:rFonts w:ascii="Arial" w:eastAsiaTheme="majorEastAsia" w:hAnsi="Arial" w:cs="Arial"/>
          <w:b/>
          <w:bCs/>
          <w:color w:val="4F81BD" w:themeColor="accent1"/>
          <w:sz w:val="24"/>
          <w:szCs w:val="24"/>
          <w:lang w:val="en-US"/>
        </w:rPr>
        <w:lastRenderedPageBreak/>
        <w:t xml:space="preserve">The factors to consider in the </w:t>
      </w:r>
      <w:r>
        <w:rPr>
          <w:rFonts w:ascii="Arial" w:eastAsiaTheme="majorEastAsia" w:hAnsi="Arial" w:cs="Arial"/>
          <w:b/>
          <w:bCs/>
          <w:color w:val="4F81BD" w:themeColor="accent1"/>
          <w:sz w:val="24"/>
          <w:szCs w:val="24"/>
          <w:lang w:val="en-US"/>
        </w:rPr>
        <w:t xml:space="preserve">low volume of clinical work </w:t>
      </w:r>
      <w:r w:rsidRPr="00BD1565">
        <w:rPr>
          <w:rFonts w:ascii="Arial" w:eastAsiaTheme="majorEastAsia" w:hAnsi="Arial" w:cs="Arial"/>
          <w:b/>
          <w:bCs/>
          <w:color w:val="4F81BD" w:themeColor="accent1"/>
          <w:sz w:val="24"/>
          <w:szCs w:val="24"/>
          <w:lang w:val="en-US"/>
        </w:rPr>
        <w:t>SRT</w:t>
      </w:r>
      <w:bookmarkEnd w:id="16"/>
    </w:p>
    <w:p w14:paraId="1C36B123" w14:textId="7B413FCC" w:rsidR="00D154A6" w:rsidRPr="00D154A6" w:rsidRDefault="00D154A6" w:rsidP="00D154A6">
      <w:pPr>
        <w:jc w:val="both"/>
        <w:rPr>
          <w:rFonts w:cs="Calibri"/>
          <w:bCs/>
          <w:lang w:val="en-US"/>
        </w:rPr>
      </w:pPr>
      <w:r w:rsidRPr="00D154A6">
        <w:rPr>
          <w:rFonts w:cs="Calibri"/>
          <w:bCs/>
          <w:lang w:val="en-US"/>
        </w:rPr>
        <w:t xml:space="preserve">The </w:t>
      </w:r>
      <w:r w:rsidR="00BD1565">
        <w:rPr>
          <w:rFonts w:cs="Calibri"/>
          <w:bCs/>
          <w:lang w:val="en-US"/>
        </w:rPr>
        <w:t xml:space="preserve">low volume of clinical work </w:t>
      </w:r>
      <w:r w:rsidRPr="00D154A6">
        <w:rPr>
          <w:rFonts w:cs="Calibri"/>
          <w:bCs/>
          <w:lang w:val="en-US"/>
        </w:rPr>
        <w:t>SRT set</w:t>
      </w:r>
      <w:r w:rsidR="00BD1565">
        <w:rPr>
          <w:rFonts w:cs="Calibri"/>
          <w:bCs/>
          <w:lang w:val="en-US"/>
        </w:rPr>
        <w:t>s</w:t>
      </w:r>
      <w:r w:rsidRPr="00D154A6">
        <w:rPr>
          <w:rFonts w:cs="Calibri"/>
          <w:bCs/>
          <w:lang w:val="en-US"/>
        </w:rPr>
        <w:t xml:space="preserve"> out the following criteria to look at </w:t>
      </w:r>
      <w:r w:rsidR="00D706E0" w:rsidRPr="003A14DC">
        <w:rPr>
          <w:rFonts w:cs="Calibri"/>
          <w:bCs/>
          <w:lang w:val="en-US"/>
        </w:rPr>
        <w:t xml:space="preserve">relevant </w:t>
      </w:r>
      <w:r w:rsidRPr="00D154A6">
        <w:rPr>
          <w:rFonts w:cs="Calibri"/>
          <w:bCs/>
          <w:lang w:val="en-US"/>
        </w:rPr>
        <w:t>factors and the prov</w:t>
      </w:r>
      <w:r w:rsidR="00BD1565">
        <w:rPr>
          <w:rFonts w:cs="Calibri"/>
          <w:bCs/>
          <w:lang w:val="en-US"/>
        </w:rPr>
        <w:t>ision of support for the doctor</w:t>
      </w:r>
      <w:r w:rsidRPr="00D154A6">
        <w:rPr>
          <w:rFonts w:cs="Calibri"/>
          <w:bCs/>
          <w:lang w:val="en-US"/>
        </w:rPr>
        <w:t>:</w:t>
      </w:r>
    </w:p>
    <w:p w14:paraId="79364C73" w14:textId="77777777" w:rsidR="00D154A6" w:rsidRPr="00D154A6" w:rsidRDefault="00D154A6" w:rsidP="00D154A6">
      <w:pPr>
        <w:numPr>
          <w:ilvl w:val="0"/>
          <w:numId w:val="8"/>
        </w:numPr>
        <w:shd w:val="clear" w:color="auto" w:fill="FFFFFF"/>
        <w:spacing w:after="0" w:line="240" w:lineRule="auto"/>
        <w:jc w:val="both"/>
        <w:rPr>
          <w:rFonts w:cs="Calibri"/>
        </w:rPr>
      </w:pPr>
      <w:r w:rsidRPr="00D154A6">
        <w:rPr>
          <w:rFonts w:cs="Calibri"/>
        </w:rPr>
        <w:t>Volume of work in the scope of practice (over 12 consecutive months)</w:t>
      </w:r>
    </w:p>
    <w:p w14:paraId="331FD595" w14:textId="36A1939C" w:rsidR="00D154A6" w:rsidRPr="00D154A6" w:rsidRDefault="00BD1565" w:rsidP="00D154A6">
      <w:pPr>
        <w:numPr>
          <w:ilvl w:val="0"/>
          <w:numId w:val="11"/>
        </w:numPr>
        <w:shd w:val="clear" w:color="auto" w:fill="FFFFFF"/>
        <w:spacing w:after="0" w:line="240" w:lineRule="auto"/>
        <w:contextualSpacing/>
        <w:jc w:val="both"/>
        <w:rPr>
          <w:rFonts w:cs="Calibri"/>
        </w:rPr>
      </w:pPr>
      <w:r>
        <w:rPr>
          <w:rFonts w:cs="Calibri"/>
        </w:rPr>
        <w:t>GPs</w:t>
      </w:r>
      <w:r w:rsidR="00D154A6" w:rsidRPr="00D154A6">
        <w:rPr>
          <w:rFonts w:cs="Calibri"/>
        </w:rPr>
        <w:t xml:space="preserve"> performing </w:t>
      </w:r>
      <w:r w:rsidR="00714B3F">
        <w:rPr>
          <w:rFonts w:cs="Calibri"/>
        </w:rPr>
        <w:t xml:space="preserve">higher </w:t>
      </w:r>
      <w:r w:rsidR="00D154A6" w:rsidRPr="00D154A6">
        <w:rPr>
          <w:rFonts w:cs="Calibri"/>
        </w:rPr>
        <w:t xml:space="preserve">volumes </w:t>
      </w:r>
      <w:r>
        <w:rPr>
          <w:rFonts w:cs="Calibri"/>
        </w:rPr>
        <w:t xml:space="preserve">of clinical work </w:t>
      </w:r>
      <w:r w:rsidR="00714B3F">
        <w:rPr>
          <w:rFonts w:cs="Calibri"/>
        </w:rPr>
        <w:t>(</w:t>
      </w:r>
      <w:r w:rsidR="00D154A6" w:rsidRPr="00D154A6">
        <w:rPr>
          <w:rFonts w:cs="Calibri"/>
        </w:rPr>
        <w:t xml:space="preserve">closer to the 40 session </w:t>
      </w:r>
      <w:r>
        <w:rPr>
          <w:rFonts w:cs="Calibri"/>
        </w:rPr>
        <w:t>threshold</w:t>
      </w:r>
      <w:r w:rsidR="00714B3F">
        <w:rPr>
          <w:rFonts w:cs="Calibri"/>
        </w:rPr>
        <w:t>)</w:t>
      </w:r>
      <w:r>
        <w:rPr>
          <w:rFonts w:cs="Calibri"/>
        </w:rPr>
        <w:t xml:space="preserve"> </w:t>
      </w:r>
      <w:r w:rsidR="00D154A6" w:rsidRPr="00D154A6">
        <w:rPr>
          <w:rFonts w:cs="Calibri"/>
        </w:rPr>
        <w:t xml:space="preserve">are likely to </w:t>
      </w:r>
      <w:r w:rsidR="00CA3605">
        <w:rPr>
          <w:rFonts w:cs="Calibri"/>
        </w:rPr>
        <w:t>present a</w:t>
      </w:r>
      <w:r>
        <w:rPr>
          <w:rFonts w:cs="Calibri"/>
        </w:rPr>
        <w:t xml:space="preserve"> lower risk of raising safety or quality issues</w:t>
      </w:r>
      <w:r w:rsidR="00714B3F">
        <w:rPr>
          <w:rFonts w:cs="Calibri"/>
        </w:rPr>
        <w:t xml:space="preserve"> than those doing less</w:t>
      </w:r>
    </w:p>
    <w:p w14:paraId="67518E11" w14:textId="64085B63" w:rsidR="00D154A6" w:rsidRPr="00D154A6" w:rsidRDefault="00D154A6" w:rsidP="00D154A6">
      <w:pPr>
        <w:numPr>
          <w:ilvl w:val="0"/>
          <w:numId w:val="8"/>
        </w:numPr>
        <w:shd w:val="clear" w:color="auto" w:fill="FFFFFF"/>
        <w:spacing w:after="0" w:line="240" w:lineRule="auto"/>
        <w:jc w:val="both"/>
        <w:rPr>
          <w:rFonts w:cs="Calibri"/>
        </w:rPr>
      </w:pPr>
      <w:r w:rsidRPr="00D154A6">
        <w:rPr>
          <w:rFonts w:cs="Calibri"/>
        </w:rPr>
        <w:t>Spread of clinica</w:t>
      </w:r>
      <w:r w:rsidR="00BD1565">
        <w:rPr>
          <w:rFonts w:cs="Calibri"/>
        </w:rPr>
        <w:t>l work (i.e. breaks)</w:t>
      </w:r>
    </w:p>
    <w:p w14:paraId="3EC41351" w14:textId="088F9551" w:rsidR="00D154A6" w:rsidRPr="00D154A6" w:rsidRDefault="00BD1565" w:rsidP="00D154A6">
      <w:pPr>
        <w:numPr>
          <w:ilvl w:val="0"/>
          <w:numId w:val="11"/>
        </w:numPr>
        <w:shd w:val="clear" w:color="auto" w:fill="FFFFFF"/>
        <w:spacing w:after="0" w:line="240" w:lineRule="auto"/>
        <w:contextualSpacing/>
        <w:jc w:val="both"/>
        <w:rPr>
          <w:rFonts w:cs="Calibri"/>
        </w:rPr>
      </w:pPr>
      <w:r>
        <w:rPr>
          <w:rFonts w:cs="Calibri"/>
        </w:rPr>
        <w:t>GPs</w:t>
      </w:r>
      <w:r w:rsidR="00D154A6" w:rsidRPr="00D154A6">
        <w:rPr>
          <w:rFonts w:cs="Calibri"/>
        </w:rPr>
        <w:t xml:space="preserve"> performing low volume</w:t>
      </w:r>
      <w:r>
        <w:rPr>
          <w:rFonts w:cs="Calibri"/>
        </w:rPr>
        <w:t>s of clinical</w:t>
      </w:r>
      <w:r w:rsidR="00D154A6" w:rsidRPr="00D154A6">
        <w:rPr>
          <w:rFonts w:cs="Calibri"/>
        </w:rPr>
        <w:t xml:space="preserve"> work </w:t>
      </w:r>
      <w:r>
        <w:rPr>
          <w:rFonts w:cs="Calibri"/>
        </w:rPr>
        <w:t>that are well spread</w:t>
      </w:r>
      <w:r w:rsidR="00D154A6" w:rsidRPr="00D154A6">
        <w:rPr>
          <w:rFonts w:cs="Calibri"/>
        </w:rPr>
        <w:t xml:space="preserve"> over a 12 month period a</w:t>
      </w:r>
      <w:r>
        <w:rPr>
          <w:rFonts w:cs="Calibri"/>
        </w:rPr>
        <w:t xml:space="preserve">re likely to present </w:t>
      </w:r>
      <w:r w:rsidR="00CA3605">
        <w:rPr>
          <w:rFonts w:cs="Calibri"/>
        </w:rPr>
        <w:t xml:space="preserve">a </w:t>
      </w:r>
      <w:r>
        <w:rPr>
          <w:rFonts w:cs="Calibri"/>
        </w:rPr>
        <w:t>lower risk</w:t>
      </w:r>
      <w:r w:rsidR="00D154A6" w:rsidRPr="00D154A6">
        <w:rPr>
          <w:rFonts w:cs="Calibri"/>
        </w:rPr>
        <w:t xml:space="preserve"> than those taking signific</w:t>
      </w:r>
      <w:r>
        <w:rPr>
          <w:rFonts w:cs="Calibri"/>
        </w:rPr>
        <w:t>ant complete breaks within year</w:t>
      </w:r>
    </w:p>
    <w:p w14:paraId="0325EEE9" w14:textId="77777777" w:rsidR="00D154A6" w:rsidRPr="00D154A6" w:rsidRDefault="00D154A6" w:rsidP="00D154A6">
      <w:pPr>
        <w:numPr>
          <w:ilvl w:val="0"/>
          <w:numId w:val="8"/>
        </w:numPr>
        <w:shd w:val="clear" w:color="auto" w:fill="FFFFFF"/>
        <w:spacing w:after="0" w:line="240" w:lineRule="auto"/>
        <w:jc w:val="both"/>
        <w:rPr>
          <w:rFonts w:cs="Calibri"/>
        </w:rPr>
      </w:pPr>
      <w:r w:rsidRPr="00D154A6">
        <w:rPr>
          <w:rFonts w:cs="Calibri"/>
        </w:rPr>
        <w:t>Previous experience</w:t>
      </w:r>
    </w:p>
    <w:p w14:paraId="614B0402" w14:textId="075FF522" w:rsidR="00D154A6" w:rsidRPr="00D154A6" w:rsidRDefault="00BD1565" w:rsidP="00D154A6">
      <w:pPr>
        <w:numPr>
          <w:ilvl w:val="0"/>
          <w:numId w:val="11"/>
        </w:numPr>
        <w:shd w:val="clear" w:color="auto" w:fill="FFFFFF"/>
        <w:spacing w:after="0" w:line="240" w:lineRule="auto"/>
        <w:contextualSpacing/>
        <w:jc w:val="both"/>
        <w:rPr>
          <w:rFonts w:cs="Calibri"/>
        </w:rPr>
      </w:pPr>
      <w:r>
        <w:rPr>
          <w:rFonts w:cs="Calibri"/>
        </w:rPr>
        <w:t>GPs</w:t>
      </w:r>
      <w:r w:rsidR="00D154A6" w:rsidRPr="00D154A6">
        <w:rPr>
          <w:rFonts w:cs="Calibri"/>
        </w:rPr>
        <w:t xml:space="preserve"> with long pre-existing </w:t>
      </w:r>
      <w:r>
        <w:rPr>
          <w:rFonts w:cs="Calibri"/>
        </w:rPr>
        <w:t xml:space="preserve">clinical </w:t>
      </w:r>
      <w:r w:rsidR="00D154A6" w:rsidRPr="00D154A6">
        <w:rPr>
          <w:rFonts w:cs="Calibri"/>
        </w:rPr>
        <w:t xml:space="preserve">experience </w:t>
      </w:r>
      <w:r>
        <w:rPr>
          <w:rFonts w:cs="Calibri"/>
        </w:rPr>
        <w:t xml:space="preserve">in the current scope of clinical work </w:t>
      </w:r>
      <w:r w:rsidR="00D154A6" w:rsidRPr="00D154A6">
        <w:rPr>
          <w:rFonts w:cs="Calibri"/>
        </w:rPr>
        <w:t xml:space="preserve">are likely to present </w:t>
      </w:r>
      <w:r w:rsidR="00CA3605">
        <w:rPr>
          <w:rFonts w:cs="Calibri"/>
        </w:rPr>
        <w:t xml:space="preserve">a </w:t>
      </w:r>
      <w:r w:rsidR="00D154A6" w:rsidRPr="00D154A6">
        <w:rPr>
          <w:rFonts w:cs="Calibri"/>
        </w:rPr>
        <w:t>lower risk then those with little accumulated prior experience</w:t>
      </w:r>
    </w:p>
    <w:p w14:paraId="15E5B6BE" w14:textId="77777777" w:rsidR="00D154A6" w:rsidRPr="00D154A6" w:rsidRDefault="00D154A6" w:rsidP="00D154A6">
      <w:pPr>
        <w:numPr>
          <w:ilvl w:val="0"/>
          <w:numId w:val="8"/>
        </w:numPr>
        <w:shd w:val="clear" w:color="auto" w:fill="FFFFFF"/>
        <w:spacing w:after="0" w:line="240" w:lineRule="auto"/>
        <w:jc w:val="both"/>
        <w:rPr>
          <w:rFonts w:cs="Calibri"/>
        </w:rPr>
      </w:pPr>
      <w:r w:rsidRPr="00D154A6">
        <w:rPr>
          <w:rFonts w:cs="Calibri"/>
        </w:rPr>
        <w:t>Overlap in relevant experience from a different role</w:t>
      </w:r>
    </w:p>
    <w:p w14:paraId="28A064BA" w14:textId="074BCF61" w:rsidR="00D154A6" w:rsidRPr="00D154A6" w:rsidRDefault="00BD1565" w:rsidP="00D154A6">
      <w:pPr>
        <w:numPr>
          <w:ilvl w:val="0"/>
          <w:numId w:val="11"/>
        </w:numPr>
        <w:shd w:val="clear" w:color="auto" w:fill="FFFFFF"/>
        <w:spacing w:after="0" w:line="240" w:lineRule="auto"/>
        <w:contextualSpacing/>
        <w:jc w:val="both"/>
        <w:rPr>
          <w:rFonts w:cs="Calibri"/>
        </w:rPr>
      </w:pPr>
      <w:r>
        <w:rPr>
          <w:rFonts w:cs="Calibri"/>
        </w:rPr>
        <w:t>GPs</w:t>
      </w:r>
      <w:r w:rsidR="00D154A6" w:rsidRPr="00D154A6">
        <w:rPr>
          <w:rFonts w:cs="Calibri"/>
        </w:rPr>
        <w:t xml:space="preserve"> </w:t>
      </w:r>
      <w:r>
        <w:rPr>
          <w:rFonts w:cs="Calibri"/>
        </w:rPr>
        <w:t>having</w:t>
      </w:r>
      <w:r w:rsidR="00D154A6" w:rsidRPr="00D154A6">
        <w:rPr>
          <w:rFonts w:cs="Calibri"/>
        </w:rPr>
        <w:t xml:space="preserve"> significant </w:t>
      </w:r>
      <w:r>
        <w:rPr>
          <w:rFonts w:cs="Calibri"/>
        </w:rPr>
        <w:t>additional scope</w:t>
      </w:r>
      <w:r w:rsidR="00CA3605">
        <w:rPr>
          <w:rFonts w:cs="Calibri"/>
        </w:rPr>
        <w:t>s</w:t>
      </w:r>
      <w:r>
        <w:rPr>
          <w:rFonts w:cs="Calibri"/>
        </w:rPr>
        <w:t xml:space="preserve"> of practice</w:t>
      </w:r>
      <w:r w:rsidR="00D154A6" w:rsidRPr="00D154A6">
        <w:rPr>
          <w:rFonts w:cs="Calibri"/>
        </w:rPr>
        <w:t xml:space="preserve"> outside </w:t>
      </w:r>
      <w:r w:rsidR="00CA3605">
        <w:rPr>
          <w:rFonts w:cs="Calibri"/>
        </w:rPr>
        <w:t xml:space="preserve">GP </w:t>
      </w:r>
      <w:r>
        <w:rPr>
          <w:rFonts w:cs="Calibri"/>
        </w:rPr>
        <w:t xml:space="preserve">clinical </w:t>
      </w:r>
      <w:r w:rsidR="00CA3605">
        <w:rPr>
          <w:rFonts w:cs="Calibri"/>
        </w:rPr>
        <w:t>work</w:t>
      </w:r>
      <w:r w:rsidR="00D154A6" w:rsidRPr="00D154A6">
        <w:rPr>
          <w:rFonts w:cs="Calibri"/>
        </w:rPr>
        <w:t xml:space="preserve"> but demonstrating parallel skill and knowledge requirements (e</w:t>
      </w:r>
      <w:r w:rsidR="006F2BEC">
        <w:rPr>
          <w:rFonts w:cs="Calibri"/>
        </w:rPr>
        <w:t>.</w:t>
      </w:r>
      <w:r w:rsidR="00D154A6" w:rsidRPr="00D154A6">
        <w:rPr>
          <w:rFonts w:cs="Calibri"/>
        </w:rPr>
        <w:t>g</w:t>
      </w:r>
      <w:r w:rsidR="006F2BEC">
        <w:rPr>
          <w:rFonts w:cs="Calibri"/>
        </w:rPr>
        <w:t>.</w:t>
      </w:r>
      <w:r w:rsidR="00D154A6" w:rsidRPr="00D154A6">
        <w:rPr>
          <w:rFonts w:cs="Calibri"/>
        </w:rPr>
        <w:t xml:space="preserve"> A&amp;E work, </w:t>
      </w:r>
      <w:r>
        <w:rPr>
          <w:rFonts w:cs="Calibri"/>
        </w:rPr>
        <w:t>RCGP Examiner</w:t>
      </w:r>
      <w:r w:rsidR="00D154A6" w:rsidRPr="00D154A6">
        <w:rPr>
          <w:rFonts w:cs="Calibri"/>
        </w:rPr>
        <w:t xml:space="preserve"> roles etc</w:t>
      </w:r>
      <w:r w:rsidR="006F2BEC">
        <w:rPr>
          <w:rFonts w:cs="Calibri"/>
        </w:rPr>
        <w:t>.</w:t>
      </w:r>
      <w:r w:rsidR="00D154A6" w:rsidRPr="00D154A6">
        <w:rPr>
          <w:rFonts w:cs="Calibri"/>
        </w:rPr>
        <w:t xml:space="preserve">) are </w:t>
      </w:r>
      <w:r>
        <w:rPr>
          <w:rFonts w:cs="Calibri"/>
        </w:rPr>
        <w:t xml:space="preserve">likely to present </w:t>
      </w:r>
      <w:r w:rsidR="00CA3605">
        <w:rPr>
          <w:rFonts w:cs="Calibri"/>
        </w:rPr>
        <w:t xml:space="preserve">a </w:t>
      </w:r>
      <w:r>
        <w:rPr>
          <w:rFonts w:cs="Calibri"/>
        </w:rPr>
        <w:t xml:space="preserve">lower risk than those who </w:t>
      </w:r>
      <w:r w:rsidR="00CA3605">
        <w:rPr>
          <w:rFonts w:cs="Calibri"/>
        </w:rPr>
        <w:t>do</w:t>
      </w:r>
      <w:r>
        <w:rPr>
          <w:rFonts w:cs="Calibri"/>
        </w:rPr>
        <w:t xml:space="preserve"> not</w:t>
      </w:r>
    </w:p>
    <w:p w14:paraId="2C44F4E9" w14:textId="77777777" w:rsidR="00D154A6" w:rsidRPr="00D154A6" w:rsidRDefault="00D154A6" w:rsidP="00D154A6">
      <w:pPr>
        <w:numPr>
          <w:ilvl w:val="0"/>
          <w:numId w:val="8"/>
        </w:numPr>
        <w:shd w:val="clear" w:color="auto" w:fill="FFFFFF"/>
        <w:spacing w:after="0" w:line="240" w:lineRule="auto"/>
        <w:jc w:val="both"/>
        <w:rPr>
          <w:rFonts w:cs="Calibri"/>
        </w:rPr>
      </w:pPr>
      <w:r w:rsidRPr="00D154A6">
        <w:rPr>
          <w:rFonts w:cs="Calibri"/>
        </w:rPr>
        <w:t>Duration of period of low volume work to date and in the future</w:t>
      </w:r>
    </w:p>
    <w:p w14:paraId="6C74511B" w14:textId="2216F39D" w:rsidR="00D154A6" w:rsidRPr="00D154A6" w:rsidRDefault="00D154A6" w:rsidP="00D154A6">
      <w:pPr>
        <w:numPr>
          <w:ilvl w:val="0"/>
          <w:numId w:val="11"/>
        </w:numPr>
        <w:shd w:val="clear" w:color="auto" w:fill="FFFFFF"/>
        <w:spacing w:after="0" w:line="240" w:lineRule="auto"/>
        <w:contextualSpacing/>
        <w:jc w:val="both"/>
        <w:rPr>
          <w:rFonts w:cs="Calibri"/>
        </w:rPr>
      </w:pPr>
      <w:r w:rsidRPr="00D154A6">
        <w:rPr>
          <w:rFonts w:cs="Calibri"/>
        </w:rPr>
        <w:t>GPs in their first year or two of low volume</w:t>
      </w:r>
      <w:r w:rsidR="00CA3605">
        <w:rPr>
          <w:rFonts w:cs="Calibri"/>
        </w:rPr>
        <w:t>s of clinical</w:t>
      </w:r>
      <w:r w:rsidRPr="00D154A6">
        <w:rPr>
          <w:rFonts w:cs="Calibri"/>
        </w:rPr>
        <w:t xml:space="preserve"> work </w:t>
      </w:r>
      <w:r w:rsidR="00CA3605">
        <w:rPr>
          <w:rFonts w:cs="Calibri"/>
        </w:rPr>
        <w:t>are likely to present a</w:t>
      </w:r>
      <w:r w:rsidRPr="00D154A6">
        <w:rPr>
          <w:rFonts w:cs="Calibri"/>
        </w:rPr>
        <w:t xml:space="preserve"> lower risk of </w:t>
      </w:r>
      <w:r w:rsidR="00CA3605">
        <w:rPr>
          <w:rFonts w:cs="Calibri"/>
        </w:rPr>
        <w:t xml:space="preserve">having </w:t>
      </w:r>
      <w:r w:rsidRPr="00D154A6">
        <w:rPr>
          <w:rFonts w:cs="Calibri"/>
        </w:rPr>
        <w:t>deskill</w:t>
      </w:r>
      <w:r w:rsidR="00CA3605">
        <w:rPr>
          <w:rFonts w:cs="Calibri"/>
        </w:rPr>
        <w:t>ed</w:t>
      </w:r>
      <w:r w:rsidRPr="00D154A6">
        <w:rPr>
          <w:rFonts w:cs="Calibri"/>
        </w:rPr>
        <w:t xml:space="preserve"> </w:t>
      </w:r>
      <w:r w:rsidR="00CA3605">
        <w:rPr>
          <w:rFonts w:cs="Calibri"/>
        </w:rPr>
        <w:t>than those who have been doing low volumes for a longer time</w:t>
      </w:r>
    </w:p>
    <w:p w14:paraId="45585712" w14:textId="27B48A3F" w:rsidR="00D154A6" w:rsidRPr="00CA3605" w:rsidRDefault="00D154A6" w:rsidP="00CA3605">
      <w:pPr>
        <w:numPr>
          <w:ilvl w:val="0"/>
          <w:numId w:val="8"/>
        </w:numPr>
        <w:shd w:val="clear" w:color="auto" w:fill="FFFFFF"/>
        <w:spacing w:after="0" w:line="240" w:lineRule="auto"/>
        <w:jc w:val="both"/>
        <w:rPr>
          <w:rFonts w:cs="Calibri"/>
        </w:rPr>
      </w:pPr>
      <w:r w:rsidRPr="00D154A6">
        <w:rPr>
          <w:rFonts w:cs="Calibri"/>
        </w:rPr>
        <w:t xml:space="preserve">Nature of </w:t>
      </w:r>
      <w:r w:rsidRPr="00CA3605">
        <w:rPr>
          <w:rFonts w:cs="Calibri"/>
        </w:rPr>
        <w:t>GP clinical work</w:t>
      </w:r>
    </w:p>
    <w:p w14:paraId="41E4E5B1" w14:textId="658C82A3" w:rsidR="00CA3605" w:rsidRPr="00C53EF7" w:rsidRDefault="00CA3605" w:rsidP="00CA3605">
      <w:pPr>
        <w:pStyle w:val="ListParagraph"/>
        <w:numPr>
          <w:ilvl w:val="0"/>
          <w:numId w:val="11"/>
        </w:numPr>
        <w:shd w:val="clear" w:color="auto" w:fill="FFFFFF"/>
        <w:spacing w:after="0" w:line="240" w:lineRule="auto"/>
        <w:jc w:val="both"/>
        <w:rPr>
          <w:rFonts w:cs="Calibri"/>
        </w:rPr>
      </w:pPr>
      <w:r>
        <w:rPr>
          <w:rFonts w:cs="Calibri"/>
        </w:rPr>
        <w:t>GPs providing more differentiated GP clinical work, with a narrower scope of practice to keep up to date, are likely to present a lower risk then those with broad, undifferentiated clinical work - providing they are able to restrict the scope of their clinical work at all times. For GPs, any significant period spent doing a restricted scope of clinical work would make it higher risk to be suddenly asked to return to undifferentiated clinical practice</w:t>
      </w:r>
    </w:p>
    <w:p w14:paraId="4F4C2680" w14:textId="7E8EA88B" w:rsidR="00D154A6" w:rsidRPr="00CA3605" w:rsidRDefault="00D154A6" w:rsidP="00D154A6">
      <w:pPr>
        <w:numPr>
          <w:ilvl w:val="0"/>
          <w:numId w:val="8"/>
        </w:numPr>
        <w:shd w:val="clear" w:color="auto" w:fill="FFFFFF"/>
        <w:spacing w:after="0" w:line="240" w:lineRule="auto"/>
        <w:contextualSpacing/>
        <w:jc w:val="both"/>
        <w:rPr>
          <w:rFonts w:cs="Calibri"/>
        </w:rPr>
      </w:pPr>
      <w:r w:rsidRPr="00CA3605">
        <w:rPr>
          <w:rFonts w:cs="Calibri"/>
        </w:rPr>
        <w:t>Integration and benchmarking and access to support</w:t>
      </w:r>
    </w:p>
    <w:p w14:paraId="376DD896" w14:textId="18A55955" w:rsidR="00D154A6" w:rsidRPr="00D154A6" w:rsidRDefault="00CA3605" w:rsidP="00D154A6">
      <w:pPr>
        <w:numPr>
          <w:ilvl w:val="0"/>
          <w:numId w:val="11"/>
        </w:numPr>
        <w:shd w:val="clear" w:color="auto" w:fill="FFFFFF"/>
        <w:spacing w:after="0" w:line="240" w:lineRule="auto"/>
        <w:contextualSpacing/>
        <w:jc w:val="both"/>
        <w:rPr>
          <w:rFonts w:cs="Calibri"/>
        </w:rPr>
      </w:pPr>
      <w:r>
        <w:rPr>
          <w:rFonts w:cs="Calibri"/>
        </w:rPr>
        <w:t>GPs</w:t>
      </w:r>
      <w:r w:rsidR="00D154A6" w:rsidRPr="00D154A6">
        <w:rPr>
          <w:rFonts w:cs="Calibri"/>
        </w:rPr>
        <w:t xml:space="preserve"> hav</w:t>
      </w:r>
      <w:r>
        <w:rPr>
          <w:rFonts w:cs="Calibri"/>
        </w:rPr>
        <w:t>ing</w:t>
      </w:r>
      <w:r w:rsidR="00D154A6" w:rsidRPr="00D154A6">
        <w:rPr>
          <w:rFonts w:cs="Calibri"/>
        </w:rPr>
        <w:t xml:space="preserve"> ready access to educational and mentoring support and to local benchmarking parameters (e</w:t>
      </w:r>
      <w:r w:rsidR="006F2BEC">
        <w:rPr>
          <w:rFonts w:cs="Calibri"/>
        </w:rPr>
        <w:t>.</w:t>
      </w:r>
      <w:r w:rsidR="00D154A6" w:rsidRPr="00D154A6">
        <w:rPr>
          <w:rFonts w:cs="Calibri"/>
        </w:rPr>
        <w:t>g</w:t>
      </w:r>
      <w:r w:rsidR="006F2BEC">
        <w:rPr>
          <w:rFonts w:cs="Calibri"/>
        </w:rPr>
        <w:t>.</w:t>
      </w:r>
      <w:r w:rsidR="00D154A6" w:rsidRPr="00D154A6">
        <w:rPr>
          <w:rFonts w:cs="Calibri"/>
        </w:rPr>
        <w:t xml:space="preserve"> referral comparisons, prescribing benchmarks etc</w:t>
      </w:r>
      <w:r w:rsidR="006F2BEC">
        <w:rPr>
          <w:rFonts w:cs="Calibri"/>
        </w:rPr>
        <w:t>.</w:t>
      </w:r>
      <w:r w:rsidR="00D154A6" w:rsidRPr="00D154A6">
        <w:rPr>
          <w:rFonts w:cs="Calibri"/>
        </w:rPr>
        <w:t xml:space="preserve">) are likely to </w:t>
      </w:r>
      <w:r>
        <w:rPr>
          <w:rFonts w:cs="Calibri"/>
        </w:rPr>
        <w:t>present a lower risk than those working in relative isolation</w:t>
      </w:r>
    </w:p>
    <w:p w14:paraId="0C1AD567" w14:textId="5FAE8C59" w:rsidR="00D154A6" w:rsidRPr="00D154A6" w:rsidRDefault="00714B3F" w:rsidP="00D154A6">
      <w:pPr>
        <w:numPr>
          <w:ilvl w:val="0"/>
          <w:numId w:val="8"/>
        </w:numPr>
        <w:shd w:val="clear" w:color="auto" w:fill="FFFFFF"/>
        <w:spacing w:after="0" w:line="240" w:lineRule="auto"/>
        <w:jc w:val="both"/>
        <w:rPr>
          <w:rFonts w:cs="Calibri"/>
        </w:rPr>
      </w:pPr>
      <w:r>
        <w:rPr>
          <w:rFonts w:cs="Calibri"/>
        </w:rPr>
        <w:t>Personal a</w:t>
      </w:r>
      <w:r w:rsidR="00D154A6" w:rsidRPr="00D154A6">
        <w:rPr>
          <w:rFonts w:cs="Calibri"/>
        </w:rPr>
        <w:t>pproach to clinical risk management</w:t>
      </w:r>
    </w:p>
    <w:p w14:paraId="7C797AE6" w14:textId="0FECE9CD" w:rsidR="00D154A6" w:rsidRPr="00D154A6" w:rsidRDefault="00D154A6" w:rsidP="00D154A6">
      <w:pPr>
        <w:numPr>
          <w:ilvl w:val="0"/>
          <w:numId w:val="11"/>
        </w:numPr>
        <w:shd w:val="clear" w:color="auto" w:fill="FFFFFF"/>
        <w:spacing w:after="0" w:line="240" w:lineRule="auto"/>
        <w:contextualSpacing/>
        <w:jc w:val="both"/>
        <w:rPr>
          <w:rFonts w:cs="Calibri"/>
        </w:rPr>
      </w:pPr>
      <w:r w:rsidRPr="00D154A6">
        <w:rPr>
          <w:rFonts w:cs="Calibri"/>
        </w:rPr>
        <w:t>GPs demonstrat</w:t>
      </w:r>
      <w:r w:rsidR="00CA3605">
        <w:rPr>
          <w:rFonts w:cs="Calibri"/>
        </w:rPr>
        <w:t>ing</w:t>
      </w:r>
      <w:r w:rsidRPr="00D154A6">
        <w:rPr>
          <w:rFonts w:cs="Calibri"/>
        </w:rPr>
        <w:t xml:space="preserve"> an awareness of the potential risks of </w:t>
      </w:r>
      <w:r w:rsidR="00CA3605">
        <w:rPr>
          <w:rFonts w:cs="Calibri"/>
        </w:rPr>
        <w:t xml:space="preserve">doing </w:t>
      </w:r>
      <w:r w:rsidRPr="00D154A6">
        <w:rPr>
          <w:rFonts w:cs="Calibri"/>
        </w:rPr>
        <w:t>low volume</w:t>
      </w:r>
      <w:r w:rsidR="00CA3605">
        <w:rPr>
          <w:rFonts w:cs="Calibri"/>
        </w:rPr>
        <w:t>s of clinical</w:t>
      </w:r>
      <w:r w:rsidRPr="00D154A6">
        <w:rPr>
          <w:rFonts w:cs="Calibri"/>
        </w:rPr>
        <w:t xml:space="preserve"> work and</w:t>
      </w:r>
      <w:r w:rsidR="00CA3605">
        <w:rPr>
          <w:rFonts w:cs="Calibri"/>
        </w:rPr>
        <w:t xml:space="preserve"> taking action to</w:t>
      </w:r>
      <w:r w:rsidRPr="00D154A6">
        <w:rPr>
          <w:rFonts w:cs="Calibri"/>
        </w:rPr>
        <w:t xml:space="preserve"> mitigate these are likely to </w:t>
      </w:r>
      <w:r w:rsidR="00CA3605">
        <w:rPr>
          <w:rFonts w:cs="Calibri"/>
        </w:rPr>
        <w:t>present a lower risk than those who do not</w:t>
      </w:r>
    </w:p>
    <w:p w14:paraId="646F724F" w14:textId="0B422DEC" w:rsidR="00714B3F" w:rsidRPr="00D154A6" w:rsidRDefault="00714B3F" w:rsidP="00714B3F">
      <w:pPr>
        <w:numPr>
          <w:ilvl w:val="0"/>
          <w:numId w:val="8"/>
        </w:numPr>
        <w:shd w:val="clear" w:color="auto" w:fill="FFFFFF"/>
        <w:spacing w:after="0" w:line="240" w:lineRule="auto"/>
        <w:jc w:val="both"/>
        <w:rPr>
          <w:rFonts w:cs="Calibri"/>
        </w:rPr>
      </w:pPr>
      <w:r>
        <w:rPr>
          <w:rFonts w:cs="Calibri"/>
        </w:rPr>
        <w:t>Continuous Professional Development (CPD)</w:t>
      </w:r>
    </w:p>
    <w:p w14:paraId="22812508" w14:textId="1CB08BE4" w:rsidR="00714B3F" w:rsidRPr="00D154A6" w:rsidRDefault="00714B3F" w:rsidP="00714B3F">
      <w:pPr>
        <w:numPr>
          <w:ilvl w:val="0"/>
          <w:numId w:val="11"/>
        </w:numPr>
        <w:shd w:val="clear" w:color="auto" w:fill="FFFFFF"/>
        <w:spacing w:after="0" w:line="240" w:lineRule="auto"/>
        <w:contextualSpacing/>
        <w:jc w:val="both"/>
        <w:rPr>
          <w:rFonts w:cs="Calibri"/>
          <w:color w:val="000000" w:themeColor="text1"/>
        </w:rPr>
      </w:pPr>
      <w:r>
        <w:rPr>
          <w:rFonts w:cs="Calibri"/>
          <w:color w:val="000000" w:themeColor="text1"/>
        </w:rPr>
        <w:t>GPs</w:t>
      </w:r>
      <w:r w:rsidRPr="00D154A6">
        <w:rPr>
          <w:rFonts w:cs="Calibri"/>
          <w:color w:val="000000" w:themeColor="text1"/>
        </w:rPr>
        <w:t xml:space="preserve"> </w:t>
      </w:r>
      <w:r>
        <w:rPr>
          <w:rFonts w:cs="Calibri"/>
          <w:color w:val="000000" w:themeColor="text1"/>
        </w:rPr>
        <w:t>undertaking targeted CPD relevant to their whole scope of clinical work to compensate for their lack of experiential learning are likely to present a lower risk that those who do not</w:t>
      </w:r>
    </w:p>
    <w:p w14:paraId="5B6CC962" w14:textId="2D77962C" w:rsidR="00D154A6" w:rsidRPr="00D154A6" w:rsidRDefault="00CA3605" w:rsidP="00D154A6">
      <w:pPr>
        <w:numPr>
          <w:ilvl w:val="0"/>
          <w:numId w:val="8"/>
        </w:numPr>
        <w:shd w:val="clear" w:color="auto" w:fill="FFFFFF"/>
        <w:spacing w:after="0" w:line="240" w:lineRule="auto"/>
        <w:jc w:val="both"/>
        <w:rPr>
          <w:rFonts w:cs="Calibri"/>
        </w:rPr>
      </w:pPr>
      <w:r>
        <w:rPr>
          <w:rFonts w:cs="Calibri"/>
        </w:rPr>
        <w:t>Personal development planning</w:t>
      </w:r>
    </w:p>
    <w:p w14:paraId="777689F1" w14:textId="04E86CB0" w:rsidR="00D154A6" w:rsidRDefault="00CA3605" w:rsidP="00D154A6">
      <w:pPr>
        <w:numPr>
          <w:ilvl w:val="0"/>
          <w:numId w:val="11"/>
        </w:numPr>
        <w:shd w:val="clear" w:color="auto" w:fill="FFFFFF"/>
        <w:spacing w:after="0" w:line="240" w:lineRule="auto"/>
        <w:contextualSpacing/>
        <w:jc w:val="both"/>
        <w:rPr>
          <w:rFonts w:cs="Calibri"/>
          <w:color w:val="000000" w:themeColor="text1"/>
        </w:rPr>
      </w:pPr>
      <w:r>
        <w:rPr>
          <w:rFonts w:cs="Calibri"/>
          <w:color w:val="000000" w:themeColor="text1"/>
        </w:rPr>
        <w:t>GPs</w:t>
      </w:r>
      <w:r w:rsidR="00D154A6" w:rsidRPr="00D154A6">
        <w:rPr>
          <w:rFonts w:cs="Calibri"/>
          <w:color w:val="000000" w:themeColor="text1"/>
        </w:rPr>
        <w:t xml:space="preserve"> constructing a PDP that specifically addresses </w:t>
      </w:r>
      <w:r>
        <w:rPr>
          <w:rFonts w:cs="Calibri"/>
          <w:color w:val="000000" w:themeColor="text1"/>
        </w:rPr>
        <w:t>any</w:t>
      </w:r>
      <w:r w:rsidR="00D154A6" w:rsidRPr="00D154A6">
        <w:rPr>
          <w:rFonts w:cs="Calibri"/>
          <w:color w:val="000000" w:themeColor="text1"/>
        </w:rPr>
        <w:t xml:space="preserve"> concerns or hav</w:t>
      </w:r>
      <w:r>
        <w:rPr>
          <w:rFonts w:cs="Calibri"/>
          <w:color w:val="000000" w:themeColor="text1"/>
        </w:rPr>
        <w:t>ing</w:t>
      </w:r>
      <w:r w:rsidR="00D154A6" w:rsidRPr="00D154A6">
        <w:rPr>
          <w:rFonts w:cs="Calibri"/>
          <w:color w:val="000000" w:themeColor="text1"/>
        </w:rPr>
        <w:t xml:space="preserve"> a broad ranging PDP consistent with their scope of work</w:t>
      </w:r>
      <w:r>
        <w:rPr>
          <w:rFonts w:cs="Calibri"/>
          <w:color w:val="000000" w:themeColor="text1"/>
        </w:rPr>
        <w:t>, including their clinical work,</w:t>
      </w:r>
      <w:r w:rsidR="00D154A6" w:rsidRPr="00D154A6">
        <w:rPr>
          <w:rFonts w:cs="Calibri"/>
          <w:color w:val="000000" w:themeColor="text1"/>
        </w:rPr>
        <w:t xml:space="preserve"> are likely to </w:t>
      </w:r>
      <w:r>
        <w:rPr>
          <w:rFonts w:cs="Calibri"/>
          <w:color w:val="000000" w:themeColor="text1"/>
        </w:rPr>
        <w:t>present a</w:t>
      </w:r>
      <w:r w:rsidR="00D154A6" w:rsidRPr="00D154A6">
        <w:rPr>
          <w:rFonts w:cs="Calibri"/>
          <w:color w:val="000000" w:themeColor="text1"/>
        </w:rPr>
        <w:t xml:space="preserve"> lower risk</w:t>
      </w:r>
      <w:r>
        <w:rPr>
          <w:rFonts w:cs="Calibri"/>
          <w:color w:val="000000" w:themeColor="text1"/>
        </w:rPr>
        <w:t xml:space="preserve"> than those who do not include appropriate PDP goals</w:t>
      </w:r>
    </w:p>
    <w:p w14:paraId="6FA8912D" w14:textId="77777777" w:rsidR="00714B3F" w:rsidRPr="00D154A6" w:rsidRDefault="00714B3F" w:rsidP="00714B3F">
      <w:pPr>
        <w:shd w:val="clear" w:color="auto" w:fill="FFFFFF"/>
        <w:spacing w:after="0" w:line="240" w:lineRule="auto"/>
        <w:ind w:left="1080"/>
        <w:contextualSpacing/>
        <w:jc w:val="both"/>
        <w:rPr>
          <w:rFonts w:cs="Calibri"/>
          <w:color w:val="000000" w:themeColor="text1"/>
        </w:rPr>
      </w:pPr>
    </w:p>
    <w:p w14:paraId="4BE1FF4E" w14:textId="6847396D" w:rsidR="00D154A6" w:rsidRPr="00D154A6" w:rsidRDefault="00714B3F" w:rsidP="00D154A6">
      <w:pPr>
        <w:jc w:val="both"/>
        <w:rPr>
          <w:rFonts w:cs="Calibri"/>
          <w:bCs/>
          <w:lang w:val="en-US"/>
        </w:rPr>
      </w:pPr>
      <w:r>
        <w:rPr>
          <w:rFonts w:cs="Calibri"/>
        </w:rPr>
        <w:t>GPs should</w:t>
      </w:r>
      <w:r w:rsidR="00D154A6" w:rsidRPr="00D154A6">
        <w:rPr>
          <w:rFonts w:cs="Calibri"/>
        </w:rPr>
        <w:t xml:space="preserve"> consider these and any other pertinent factors for themselves. The discussion in the appraisal should help support the doctor to put in place </w:t>
      </w:r>
      <w:r>
        <w:rPr>
          <w:rFonts w:cs="Calibri"/>
        </w:rPr>
        <w:t xml:space="preserve">appropriate </w:t>
      </w:r>
      <w:r w:rsidR="00D154A6" w:rsidRPr="00D154A6">
        <w:rPr>
          <w:rFonts w:cs="Calibri"/>
        </w:rPr>
        <w:t xml:space="preserve">mitigating interventions </w:t>
      </w:r>
      <w:r>
        <w:rPr>
          <w:rFonts w:cs="Calibri"/>
        </w:rPr>
        <w:t xml:space="preserve">(if necessary) </w:t>
      </w:r>
      <w:r w:rsidR="00D154A6" w:rsidRPr="00D154A6">
        <w:rPr>
          <w:rFonts w:cs="Calibri"/>
        </w:rPr>
        <w:t>to help them achieve their goal of continued safe clinical practice. These mitigating interventions should be agreed with the appraiser and form part of the doctor’s PDP.</w:t>
      </w:r>
    </w:p>
    <w:sectPr w:rsidR="00D154A6" w:rsidRPr="00D154A6" w:rsidSect="00D5133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B05A" w14:textId="77777777" w:rsidR="00293C0B" w:rsidRDefault="00293C0B" w:rsidP="00E30BB9">
      <w:pPr>
        <w:spacing w:after="0" w:line="240" w:lineRule="auto"/>
      </w:pPr>
      <w:r>
        <w:separator/>
      </w:r>
    </w:p>
  </w:endnote>
  <w:endnote w:type="continuationSeparator" w:id="0">
    <w:p w14:paraId="6C65048A" w14:textId="77777777" w:rsidR="00293C0B" w:rsidRDefault="00293C0B" w:rsidP="00E3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GSMinchoE">
    <w:charset w:val="80"/>
    <w:family w:val="roman"/>
    <w:pitch w:val="variable"/>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5AE5" w14:textId="77777777" w:rsidR="00E7065B" w:rsidRDefault="00E70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1896" w14:textId="77777777" w:rsidR="00E7065B" w:rsidRDefault="00E70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4991" w14:textId="77777777" w:rsidR="00E7065B" w:rsidRDefault="00E7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A24BD" w14:textId="77777777" w:rsidR="00293C0B" w:rsidRDefault="00293C0B" w:rsidP="00E30BB9">
      <w:pPr>
        <w:spacing w:after="0" w:line="240" w:lineRule="auto"/>
      </w:pPr>
      <w:r>
        <w:separator/>
      </w:r>
    </w:p>
  </w:footnote>
  <w:footnote w:type="continuationSeparator" w:id="0">
    <w:p w14:paraId="6B9D9D66" w14:textId="77777777" w:rsidR="00293C0B" w:rsidRDefault="00293C0B" w:rsidP="00E30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2312" w14:textId="77777777" w:rsidR="00E7065B" w:rsidRDefault="00E70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2AB6F" w14:textId="290E1D8B" w:rsidR="003C67E3" w:rsidRDefault="003C6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173A" w14:textId="77777777" w:rsidR="00E7065B" w:rsidRDefault="00E70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4708"/>
    <w:multiLevelType w:val="hybridMultilevel"/>
    <w:tmpl w:val="C2C6CE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372B2"/>
    <w:multiLevelType w:val="hybridMultilevel"/>
    <w:tmpl w:val="53EAB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DA6E13"/>
    <w:multiLevelType w:val="hybridMultilevel"/>
    <w:tmpl w:val="481E18B2"/>
    <w:lvl w:ilvl="0" w:tplc="DB32965C">
      <w:start w:val="1"/>
      <w:numFmt w:val="decimal"/>
      <w:lvlText w:val="%1."/>
      <w:lvlJc w:val="left"/>
      <w:pPr>
        <w:tabs>
          <w:tab w:val="num" w:pos="720"/>
        </w:tabs>
        <w:ind w:left="720" w:hanging="360"/>
      </w:pPr>
    </w:lvl>
    <w:lvl w:ilvl="1" w:tplc="E3F26D84" w:tentative="1">
      <w:start w:val="1"/>
      <w:numFmt w:val="decimal"/>
      <w:lvlText w:val="%2."/>
      <w:lvlJc w:val="left"/>
      <w:pPr>
        <w:tabs>
          <w:tab w:val="num" w:pos="1440"/>
        </w:tabs>
        <w:ind w:left="1440" w:hanging="360"/>
      </w:pPr>
    </w:lvl>
    <w:lvl w:ilvl="2" w:tplc="BE72BC38" w:tentative="1">
      <w:start w:val="1"/>
      <w:numFmt w:val="decimal"/>
      <w:lvlText w:val="%3."/>
      <w:lvlJc w:val="left"/>
      <w:pPr>
        <w:tabs>
          <w:tab w:val="num" w:pos="2160"/>
        </w:tabs>
        <w:ind w:left="2160" w:hanging="360"/>
      </w:pPr>
    </w:lvl>
    <w:lvl w:ilvl="3" w:tplc="1F88F242" w:tentative="1">
      <w:start w:val="1"/>
      <w:numFmt w:val="decimal"/>
      <w:lvlText w:val="%4."/>
      <w:lvlJc w:val="left"/>
      <w:pPr>
        <w:tabs>
          <w:tab w:val="num" w:pos="2880"/>
        </w:tabs>
        <w:ind w:left="2880" w:hanging="360"/>
      </w:pPr>
    </w:lvl>
    <w:lvl w:ilvl="4" w:tplc="4F504790" w:tentative="1">
      <w:start w:val="1"/>
      <w:numFmt w:val="decimal"/>
      <w:lvlText w:val="%5."/>
      <w:lvlJc w:val="left"/>
      <w:pPr>
        <w:tabs>
          <w:tab w:val="num" w:pos="3600"/>
        </w:tabs>
        <w:ind w:left="3600" w:hanging="360"/>
      </w:pPr>
    </w:lvl>
    <w:lvl w:ilvl="5" w:tplc="C2748E36" w:tentative="1">
      <w:start w:val="1"/>
      <w:numFmt w:val="decimal"/>
      <w:lvlText w:val="%6."/>
      <w:lvlJc w:val="left"/>
      <w:pPr>
        <w:tabs>
          <w:tab w:val="num" w:pos="4320"/>
        </w:tabs>
        <w:ind w:left="4320" w:hanging="360"/>
      </w:pPr>
    </w:lvl>
    <w:lvl w:ilvl="6" w:tplc="370ACF04" w:tentative="1">
      <w:start w:val="1"/>
      <w:numFmt w:val="decimal"/>
      <w:lvlText w:val="%7."/>
      <w:lvlJc w:val="left"/>
      <w:pPr>
        <w:tabs>
          <w:tab w:val="num" w:pos="5040"/>
        </w:tabs>
        <w:ind w:left="5040" w:hanging="360"/>
      </w:pPr>
    </w:lvl>
    <w:lvl w:ilvl="7" w:tplc="7ABAD708" w:tentative="1">
      <w:start w:val="1"/>
      <w:numFmt w:val="decimal"/>
      <w:lvlText w:val="%8."/>
      <w:lvlJc w:val="left"/>
      <w:pPr>
        <w:tabs>
          <w:tab w:val="num" w:pos="5760"/>
        </w:tabs>
        <w:ind w:left="5760" w:hanging="360"/>
      </w:pPr>
    </w:lvl>
    <w:lvl w:ilvl="8" w:tplc="CEA293EA" w:tentative="1">
      <w:start w:val="1"/>
      <w:numFmt w:val="decimal"/>
      <w:lvlText w:val="%9."/>
      <w:lvlJc w:val="left"/>
      <w:pPr>
        <w:tabs>
          <w:tab w:val="num" w:pos="6480"/>
        </w:tabs>
        <w:ind w:left="6480" w:hanging="360"/>
      </w:pPr>
    </w:lvl>
  </w:abstractNum>
  <w:abstractNum w:abstractNumId="3" w15:restartNumberingAfterBreak="0">
    <w:nsid w:val="09C74D49"/>
    <w:multiLevelType w:val="hybridMultilevel"/>
    <w:tmpl w:val="58EEF50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0B6F4C4D"/>
    <w:multiLevelType w:val="hybridMultilevel"/>
    <w:tmpl w:val="B0869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7761D"/>
    <w:multiLevelType w:val="hybridMultilevel"/>
    <w:tmpl w:val="14EE6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938E9"/>
    <w:multiLevelType w:val="hybridMultilevel"/>
    <w:tmpl w:val="6FCE989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50AA1480">
      <w:numFmt w:val="bullet"/>
      <w:lvlText w:val="-"/>
      <w:lvlJc w:val="left"/>
      <w:pPr>
        <w:ind w:left="1942" w:hanging="360"/>
      </w:pPr>
      <w:rPr>
        <w:rFonts w:ascii="Calibri" w:eastAsiaTheme="minorHAnsi" w:hAnsi="Calibri" w:cstheme="minorBidi"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0F98635E"/>
    <w:multiLevelType w:val="hybridMultilevel"/>
    <w:tmpl w:val="99C2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16B9A"/>
    <w:multiLevelType w:val="hybridMultilevel"/>
    <w:tmpl w:val="8668C6C0"/>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43357DF4"/>
    <w:multiLevelType w:val="hybridMultilevel"/>
    <w:tmpl w:val="AC64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838E0"/>
    <w:multiLevelType w:val="hybridMultilevel"/>
    <w:tmpl w:val="3B9C3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06703F"/>
    <w:multiLevelType w:val="hybridMultilevel"/>
    <w:tmpl w:val="CCB26B5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4D0796"/>
    <w:multiLevelType w:val="hybridMultilevel"/>
    <w:tmpl w:val="10667B3E"/>
    <w:lvl w:ilvl="0" w:tplc="6BE483AE">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A8580F"/>
    <w:multiLevelType w:val="hybridMultilevel"/>
    <w:tmpl w:val="51440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2853F6"/>
    <w:multiLevelType w:val="hybridMultilevel"/>
    <w:tmpl w:val="155026A8"/>
    <w:lvl w:ilvl="0" w:tplc="1E62EA16">
      <w:start w:val="1"/>
      <w:numFmt w:val="upp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66632E8E"/>
    <w:multiLevelType w:val="hybridMultilevel"/>
    <w:tmpl w:val="8E62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265AF"/>
    <w:multiLevelType w:val="hybridMultilevel"/>
    <w:tmpl w:val="7F1E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66056"/>
    <w:multiLevelType w:val="hybridMultilevel"/>
    <w:tmpl w:val="411C56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226AD1"/>
    <w:multiLevelType w:val="hybridMultilevel"/>
    <w:tmpl w:val="3F700A4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71F3528D"/>
    <w:multiLevelType w:val="hybridMultilevel"/>
    <w:tmpl w:val="7D640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0E7C31"/>
    <w:multiLevelType w:val="hybridMultilevel"/>
    <w:tmpl w:val="59381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8"/>
  </w:num>
  <w:num w:numId="4">
    <w:abstractNumId w:val="19"/>
  </w:num>
  <w:num w:numId="5">
    <w:abstractNumId w:val="14"/>
  </w:num>
  <w:num w:numId="6">
    <w:abstractNumId w:val="17"/>
  </w:num>
  <w:num w:numId="7">
    <w:abstractNumId w:val="8"/>
  </w:num>
  <w:num w:numId="8">
    <w:abstractNumId w:val="4"/>
  </w:num>
  <w:num w:numId="9">
    <w:abstractNumId w:val="10"/>
  </w:num>
  <w:num w:numId="10">
    <w:abstractNumId w:val="2"/>
  </w:num>
  <w:num w:numId="11">
    <w:abstractNumId w:val="1"/>
  </w:num>
  <w:num w:numId="12">
    <w:abstractNumId w:val="12"/>
  </w:num>
  <w:num w:numId="13">
    <w:abstractNumId w:val="15"/>
  </w:num>
  <w:num w:numId="14">
    <w:abstractNumId w:val="9"/>
  </w:num>
  <w:num w:numId="15">
    <w:abstractNumId w:val="7"/>
  </w:num>
  <w:num w:numId="16">
    <w:abstractNumId w:val="16"/>
  </w:num>
  <w:num w:numId="17">
    <w:abstractNumId w:val="20"/>
  </w:num>
  <w:num w:numId="18">
    <w:abstractNumId w:val="11"/>
  </w:num>
  <w:num w:numId="19">
    <w:abstractNumId w:val="5"/>
  </w:num>
  <w:num w:numId="20">
    <w:abstractNumId w:val="0"/>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2CD"/>
    <w:rsid w:val="00005B29"/>
    <w:rsid w:val="00005F7B"/>
    <w:rsid w:val="00011C3D"/>
    <w:rsid w:val="00015878"/>
    <w:rsid w:val="0002190A"/>
    <w:rsid w:val="00022568"/>
    <w:rsid w:val="00024543"/>
    <w:rsid w:val="00025ADE"/>
    <w:rsid w:val="000354E6"/>
    <w:rsid w:val="00035B80"/>
    <w:rsid w:val="00045254"/>
    <w:rsid w:val="000517C0"/>
    <w:rsid w:val="00054B63"/>
    <w:rsid w:val="00061A17"/>
    <w:rsid w:val="00065F54"/>
    <w:rsid w:val="000667FA"/>
    <w:rsid w:val="000769EF"/>
    <w:rsid w:val="00077A70"/>
    <w:rsid w:val="00080716"/>
    <w:rsid w:val="0008782C"/>
    <w:rsid w:val="000928C4"/>
    <w:rsid w:val="000A3E98"/>
    <w:rsid w:val="000B3766"/>
    <w:rsid w:val="000C1759"/>
    <w:rsid w:val="000D1EAB"/>
    <w:rsid w:val="000D23EA"/>
    <w:rsid w:val="000D4487"/>
    <w:rsid w:val="000E28B6"/>
    <w:rsid w:val="000E4CB2"/>
    <w:rsid w:val="000E599B"/>
    <w:rsid w:val="000F0350"/>
    <w:rsid w:val="00101D18"/>
    <w:rsid w:val="00103119"/>
    <w:rsid w:val="00107AA3"/>
    <w:rsid w:val="00110191"/>
    <w:rsid w:val="00112A3A"/>
    <w:rsid w:val="001179CA"/>
    <w:rsid w:val="00122147"/>
    <w:rsid w:val="001226F1"/>
    <w:rsid w:val="00127BE6"/>
    <w:rsid w:val="001361DA"/>
    <w:rsid w:val="001520FF"/>
    <w:rsid w:val="00153DD6"/>
    <w:rsid w:val="001546F7"/>
    <w:rsid w:val="0016672A"/>
    <w:rsid w:val="00174241"/>
    <w:rsid w:val="00176A93"/>
    <w:rsid w:val="0017767C"/>
    <w:rsid w:val="00184CCC"/>
    <w:rsid w:val="0018502A"/>
    <w:rsid w:val="00193F53"/>
    <w:rsid w:val="00194671"/>
    <w:rsid w:val="00194C69"/>
    <w:rsid w:val="0019677C"/>
    <w:rsid w:val="001973BE"/>
    <w:rsid w:val="001A2915"/>
    <w:rsid w:val="001B1DEA"/>
    <w:rsid w:val="001B2E57"/>
    <w:rsid w:val="001B7B34"/>
    <w:rsid w:val="001D081C"/>
    <w:rsid w:val="001E19DE"/>
    <w:rsid w:val="001F0365"/>
    <w:rsid w:val="001F3981"/>
    <w:rsid w:val="001F41F4"/>
    <w:rsid w:val="001F4B54"/>
    <w:rsid w:val="001F4DA2"/>
    <w:rsid w:val="002026F0"/>
    <w:rsid w:val="00210689"/>
    <w:rsid w:val="00220DF2"/>
    <w:rsid w:val="002274B3"/>
    <w:rsid w:val="00230DD1"/>
    <w:rsid w:val="0023498F"/>
    <w:rsid w:val="00255E3A"/>
    <w:rsid w:val="0026569E"/>
    <w:rsid w:val="002728F5"/>
    <w:rsid w:val="00276732"/>
    <w:rsid w:val="002771F4"/>
    <w:rsid w:val="00286A2C"/>
    <w:rsid w:val="00286E55"/>
    <w:rsid w:val="00293C0B"/>
    <w:rsid w:val="002A11DC"/>
    <w:rsid w:val="002A5805"/>
    <w:rsid w:val="002C7BE4"/>
    <w:rsid w:val="002D28C3"/>
    <w:rsid w:val="002D4827"/>
    <w:rsid w:val="002E56DD"/>
    <w:rsid w:val="002E70F9"/>
    <w:rsid w:val="002F22B7"/>
    <w:rsid w:val="002F680D"/>
    <w:rsid w:val="003139D6"/>
    <w:rsid w:val="00323982"/>
    <w:rsid w:val="0032543B"/>
    <w:rsid w:val="003256E8"/>
    <w:rsid w:val="00345450"/>
    <w:rsid w:val="00353D73"/>
    <w:rsid w:val="00355AA4"/>
    <w:rsid w:val="00357275"/>
    <w:rsid w:val="00357598"/>
    <w:rsid w:val="003630B6"/>
    <w:rsid w:val="00363925"/>
    <w:rsid w:val="00367A6B"/>
    <w:rsid w:val="00373439"/>
    <w:rsid w:val="00377CE7"/>
    <w:rsid w:val="00377E59"/>
    <w:rsid w:val="00394927"/>
    <w:rsid w:val="003973E0"/>
    <w:rsid w:val="003A0226"/>
    <w:rsid w:val="003A14DC"/>
    <w:rsid w:val="003A33ED"/>
    <w:rsid w:val="003A41F6"/>
    <w:rsid w:val="003A702D"/>
    <w:rsid w:val="003A774C"/>
    <w:rsid w:val="003B01CD"/>
    <w:rsid w:val="003B2843"/>
    <w:rsid w:val="003B4AB1"/>
    <w:rsid w:val="003C1852"/>
    <w:rsid w:val="003C2858"/>
    <w:rsid w:val="003C4803"/>
    <w:rsid w:val="003C6076"/>
    <w:rsid w:val="003C67E3"/>
    <w:rsid w:val="003D3426"/>
    <w:rsid w:val="003E221A"/>
    <w:rsid w:val="003E2D63"/>
    <w:rsid w:val="003E37D2"/>
    <w:rsid w:val="003E49EE"/>
    <w:rsid w:val="003E5DCA"/>
    <w:rsid w:val="004009F0"/>
    <w:rsid w:val="00404F3A"/>
    <w:rsid w:val="00413FA5"/>
    <w:rsid w:val="0041591E"/>
    <w:rsid w:val="004337CA"/>
    <w:rsid w:val="004414C1"/>
    <w:rsid w:val="00451633"/>
    <w:rsid w:val="004522F1"/>
    <w:rsid w:val="00452730"/>
    <w:rsid w:val="004631AD"/>
    <w:rsid w:val="00467622"/>
    <w:rsid w:val="0047004F"/>
    <w:rsid w:val="004732A2"/>
    <w:rsid w:val="0049456B"/>
    <w:rsid w:val="00495A5E"/>
    <w:rsid w:val="004A60CE"/>
    <w:rsid w:val="004A693B"/>
    <w:rsid w:val="004B2F3F"/>
    <w:rsid w:val="004B3CD6"/>
    <w:rsid w:val="004B7B9D"/>
    <w:rsid w:val="004C220D"/>
    <w:rsid w:val="004C2748"/>
    <w:rsid w:val="004D3DA3"/>
    <w:rsid w:val="004E014C"/>
    <w:rsid w:val="004F4F51"/>
    <w:rsid w:val="004F6225"/>
    <w:rsid w:val="00502390"/>
    <w:rsid w:val="0050309D"/>
    <w:rsid w:val="0050648A"/>
    <w:rsid w:val="00507C13"/>
    <w:rsid w:val="00516A4B"/>
    <w:rsid w:val="00520E8A"/>
    <w:rsid w:val="00531A2D"/>
    <w:rsid w:val="0053234A"/>
    <w:rsid w:val="00533DA1"/>
    <w:rsid w:val="00536666"/>
    <w:rsid w:val="00541569"/>
    <w:rsid w:val="00541EF8"/>
    <w:rsid w:val="0054584D"/>
    <w:rsid w:val="00546E2D"/>
    <w:rsid w:val="00547A4A"/>
    <w:rsid w:val="00556CC4"/>
    <w:rsid w:val="005644EC"/>
    <w:rsid w:val="00566981"/>
    <w:rsid w:val="00580544"/>
    <w:rsid w:val="0058729C"/>
    <w:rsid w:val="005907BE"/>
    <w:rsid w:val="00593FAB"/>
    <w:rsid w:val="00596B40"/>
    <w:rsid w:val="005B16C9"/>
    <w:rsid w:val="005B6324"/>
    <w:rsid w:val="005C081B"/>
    <w:rsid w:val="005C2C18"/>
    <w:rsid w:val="005C7B11"/>
    <w:rsid w:val="005F2BE3"/>
    <w:rsid w:val="00614EF0"/>
    <w:rsid w:val="00625428"/>
    <w:rsid w:val="006313F8"/>
    <w:rsid w:val="0063461A"/>
    <w:rsid w:val="0063710C"/>
    <w:rsid w:val="006512B1"/>
    <w:rsid w:val="00652CE3"/>
    <w:rsid w:val="006531C6"/>
    <w:rsid w:val="006622D6"/>
    <w:rsid w:val="0066294F"/>
    <w:rsid w:val="006740F6"/>
    <w:rsid w:val="0067656A"/>
    <w:rsid w:val="006851C5"/>
    <w:rsid w:val="00691DB1"/>
    <w:rsid w:val="0069349E"/>
    <w:rsid w:val="006949FF"/>
    <w:rsid w:val="006A3C8A"/>
    <w:rsid w:val="006A4F2B"/>
    <w:rsid w:val="006A7E41"/>
    <w:rsid w:val="006B7971"/>
    <w:rsid w:val="006C0CD9"/>
    <w:rsid w:val="006C0FEC"/>
    <w:rsid w:val="006E0BCD"/>
    <w:rsid w:val="006E3024"/>
    <w:rsid w:val="006E63D3"/>
    <w:rsid w:val="006F2BEC"/>
    <w:rsid w:val="006F387E"/>
    <w:rsid w:val="006F3EE7"/>
    <w:rsid w:val="006F4BC8"/>
    <w:rsid w:val="006F7D24"/>
    <w:rsid w:val="007010C2"/>
    <w:rsid w:val="0070716B"/>
    <w:rsid w:val="00707962"/>
    <w:rsid w:val="00711A43"/>
    <w:rsid w:val="00711C62"/>
    <w:rsid w:val="00714B3F"/>
    <w:rsid w:val="00720119"/>
    <w:rsid w:val="00722495"/>
    <w:rsid w:val="00722DCE"/>
    <w:rsid w:val="00724941"/>
    <w:rsid w:val="00737428"/>
    <w:rsid w:val="00741FBE"/>
    <w:rsid w:val="007463BC"/>
    <w:rsid w:val="00750BCF"/>
    <w:rsid w:val="007532EF"/>
    <w:rsid w:val="00753DB4"/>
    <w:rsid w:val="00760ABA"/>
    <w:rsid w:val="00763BB7"/>
    <w:rsid w:val="00773D48"/>
    <w:rsid w:val="007746C2"/>
    <w:rsid w:val="00774C21"/>
    <w:rsid w:val="00776358"/>
    <w:rsid w:val="00783154"/>
    <w:rsid w:val="00787306"/>
    <w:rsid w:val="007907E0"/>
    <w:rsid w:val="007C2775"/>
    <w:rsid w:val="007C3D4D"/>
    <w:rsid w:val="007D521A"/>
    <w:rsid w:val="007D5301"/>
    <w:rsid w:val="007F293C"/>
    <w:rsid w:val="00807AA1"/>
    <w:rsid w:val="008159F5"/>
    <w:rsid w:val="008164B4"/>
    <w:rsid w:val="00817F15"/>
    <w:rsid w:val="00820006"/>
    <w:rsid w:val="008215D8"/>
    <w:rsid w:val="00830D4F"/>
    <w:rsid w:val="00834896"/>
    <w:rsid w:val="0084038E"/>
    <w:rsid w:val="0085591C"/>
    <w:rsid w:val="008713CA"/>
    <w:rsid w:val="00872D14"/>
    <w:rsid w:val="00873291"/>
    <w:rsid w:val="00874875"/>
    <w:rsid w:val="00876D76"/>
    <w:rsid w:val="00882A65"/>
    <w:rsid w:val="00892933"/>
    <w:rsid w:val="008930A2"/>
    <w:rsid w:val="008A413A"/>
    <w:rsid w:val="008B26B8"/>
    <w:rsid w:val="008B2C99"/>
    <w:rsid w:val="008D01F8"/>
    <w:rsid w:val="008D1276"/>
    <w:rsid w:val="008D6578"/>
    <w:rsid w:val="008E4536"/>
    <w:rsid w:val="008E5B6E"/>
    <w:rsid w:val="008F053E"/>
    <w:rsid w:val="008F5C3C"/>
    <w:rsid w:val="008F7419"/>
    <w:rsid w:val="009018E3"/>
    <w:rsid w:val="00901D09"/>
    <w:rsid w:val="00903104"/>
    <w:rsid w:val="00914285"/>
    <w:rsid w:val="00914868"/>
    <w:rsid w:val="009158EA"/>
    <w:rsid w:val="009225A9"/>
    <w:rsid w:val="00927404"/>
    <w:rsid w:val="00927CAD"/>
    <w:rsid w:val="00932961"/>
    <w:rsid w:val="00940EAB"/>
    <w:rsid w:val="009414A5"/>
    <w:rsid w:val="009427A8"/>
    <w:rsid w:val="0095225A"/>
    <w:rsid w:val="009550F4"/>
    <w:rsid w:val="00957DE2"/>
    <w:rsid w:val="00960203"/>
    <w:rsid w:val="00960993"/>
    <w:rsid w:val="009725D3"/>
    <w:rsid w:val="009775CC"/>
    <w:rsid w:val="009830EC"/>
    <w:rsid w:val="009841A2"/>
    <w:rsid w:val="00990CDA"/>
    <w:rsid w:val="00996EC2"/>
    <w:rsid w:val="009A4E23"/>
    <w:rsid w:val="009C1B87"/>
    <w:rsid w:val="009D0326"/>
    <w:rsid w:val="009D304B"/>
    <w:rsid w:val="009D3EF1"/>
    <w:rsid w:val="009D4CC6"/>
    <w:rsid w:val="009F186F"/>
    <w:rsid w:val="009F3CEB"/>
    <w:rsid w:val="009F68F1"/>
    <w:rsid w:val="009F6B34"/>
    <w:rsid w:val="00A03237"/>
    <w:rsid w:val="00A067B0"/>
    <w:rsid w:val="00A115E1"/>
    <w:rsid w:val="00A20B29"/>
    <w:rsid w:val="00A2792A"/>
    <w:rsid w:val="00A30621"/>
    <w:rsid w:val="00A35444"/>
    <w:rsid w:val="00A3673D"/>
    <w:rsid w:val="00A52381"/>
    <w:rsid w:val="00A5366D"/>
    <w:rsid w:val="00A53E17"/>
    <w:rsid w:val="00A649A1"/>
    <w:rsid w:val="00A658CC"/>
    <w:rsid w:val="00A85913"/>
    <w:rsid w:val="00A86194"/>
    <w:rsid w:val="00A97F45"/>
    <w:rsid w:val="00AA7162"/>
    <w:rsid w:val="00AB54DD"/>
    <w:rsid w:val="00AB7417"/>
    <w:rsid w:val="00AC1973"/>
    <w:rsid w:val="00AD4607"/>
    <w:rsid w:val="00AF10A7"/>
    <w:rsid w:val="00AF11D2"/>
    <w:rsid w:val="00AF507F"/>
    <w:rsid w:val="00AF62CD"/>
    <w:rsid w:val="00B014BF"/>
    <w:rsid w:val="00B03846"/>
    <w:rsid w:val="00B237C6"/>
    <w:rsid w:val="00B442C4"/>
    <w:rsid w:val="00B76E0E"/>
    <w:rsid w:val="00B81577"/>
    <w:rsid w:val="00B83279"/>
    <w:rsid w:val="00B8398C"/>
    <w:rsid w:val="00B848A7"/>
    <w:rsid w:val="00B86B71"/>
    <w:rsid w:val="00B95818"/>
    <w:rsid w:val="00B96437"/>
    <w:rsid w:val="00B96B03"/>
    <w:rsid w:val="00B96CD5"/>
    <w:rsid w:val="00B97DF5"/>
    <w:rsid w:val="00BA0C87"/>
    <w:rsid w:val="00BA37FE"/>
    <w:rsid w:val="00BA5E13"/>
    <w:rsid w:val="00BB0CA6"/>
    <w:rsid w:val="00BB148F"/>
    <w:rsid w:val="00BB54F2"/>
    <w:rsid w:val="00BB6DDF"/>
    <w:rsid w:val="00BC39F1"/>
    <w:rsid w:val="00BC557A"/>
    <w:rsid w:val="00BC5F90"/>
    <w:rsid w:val="00BD1565"/>
    <w:rsid w:val="00BD51DA"/>
    <w:rsid w:val="00BD57EE"/>
    <w:rsid w:val="00BD62AE"/>
    <w:rsid w:val="00BD6809"/>
    <w:rsid w:val="00BD71C7"/>
    <w:rsid w:val="00BF180A"/>
    <w:rsid w:val="00BF4949"/>
    <w:rsid w:val="00C0084B"/>
    <w:rsid w:val="00C03F66"/>
    <w:rsid w:val="00C24248"/>
    <w:rsid w:val="00C42160"/>
    <w:rsid w:val="00C43EC4"/>
    <w:rsid w:val="00C44972"/>
    <w:rsid w:val="00C60947"/>
    <w:rsid w:val="00C60D2B"/>
    <w:rsid w:val="00C665DD"/>
    <w:rsid w:val="00C6780F"/>
    <w:rsid w:val="00C73CE6"/>
    <w:rsid w:val="00C74E8F"/>
    <w:rsid w:val="00C77E16"/>
    <w:rsid w:val="00C8471E"/>
    <w:rsid w:val="00C95612"/>
    <w:rsid w:val="00C95F02"/>
    <w:rsid w:val="00C96584"/>
    <w:rsid w:val="00CA3605"/>
    <w:rsid w:val="00CB28E2"/>
    <w:rsid w:val="00CB577C"/>
    <w:rsid w:val="00CB6479"/>
    <w:rsid w:val="00CB6BAF"/>
    <w:rsid w:val="00CB6EEB"/>
    <w:rsid w:val="00CC0531"/>
    <w:rsid w:val="00CC194B"/>
    <w:rsid w:val="00CC2055"/>
    <w:rsid w:val="00CC553D"/>
    <w:rsid w:val="00CC586B"/>
    <w:rsid w:val="00CC70FC"/>
    <w:rsid w:val="00CD5C6C"/>
    <w:rsid w:val="00CF20C3"/>
    <w:rsid w:val="00D00F71"/>
    <w:rsid w:val="00D12AE7"/>
    <w:rsid w:val="00D12DA2"/>
    <w:rsid w:val="00D154A6"/>
    <w:rsid w:val="00D17B69"/>
    <w:rsid w:val="00D235C5"/>
    <w:rsid w:val="00D266AA"/>
    <w:rsid w:val="00D27BF6"/>
    <w:rsid w:val="00D34F36"/>
    <w:rsid w:val="00D36AFD"/>
    <w:rsid w:val="00D45F14"/>
    <w:rsid w:val="00D5133A"/>
    <w:rsid w:val="00D516F5"/>
    <w:rsid w:val="00D6072E"/>
    <w:rsid w:val="00D61FE5"/>
    <w:rsid w:val="00D64258"/>
    <w:rsid w:val="00D706E0"/>
    <w:rsid w:val="00D70EFB"/>
    <w:rsid w:val="00D72F94"/>
    <w:rsid w:val="00D751A8"/>
    <w:rsid w:val="00D77365"/>
    <w:rsid w:val="00D774F5"/>
    <w:rsid w:val="00D77700"/>
    <w:rsid w:val="00D8311F"/>
    <w:rsid w:val="00DA0627"/>
    <w:rsid w:val="00DA0CCE"/>
    <w:rsid w:val="00DA3E83"/>
    <w:rsid w:val="00DA4A7F"/>
    <w:rsid w:val="00DB0CAA"/>
    <w:rsid w:val="00DC0148"/>
    <w:rsid w:val="00DC309B"/>
    <w:rsid w:val="00DC36E8"/>
    <w:rsid w:val="00DC50A7"/>
    <w:rsid w:val="00DD1EEF"/>
    <w:rsid w:val="00DE30D9"/>
    <w:rsid w:val="00DF1E23"/>
    <w:rsid w:val="00DF4A0F"/>
    <w:rsid w:val="00DF66A2"/>
    <w:rsid w:val="00DF6BF5"/>
    <w:rsid w:val="00E02A82"/>
    <w:rsid w:val="00E0622E"/>
    <w:rsid w:val="00E069E3"/>
    <w:rsid w:val="00E07498"/>
    <w:rsid w:val="00E10AE4"/>
    <w:rsid w:val="00E13739"/>
    <w:rsid w:val="00E1487A"/>
    <w:rsid w:val="00E200B6"/>
    <w:rsid w:val="00E25627"/>
    <w:rsid w:val="00E30BB9"/>
    <w:rsid w:val="00E46905"/>
    <w:rsid w:val="00E53D6F"/>
    <w:rsid w:val="00E54F0C"/>
    <w:rsid w:val="00E5741F"/>
    <w:rsid w:val="00E61EFA"/>
    <w:rsid w:val="00E7065B"/>
    <w:rsid w:val="00E83DDD"/>
    <w:rsid w:val="00E8789C"/>
    <w:rsid w:val="00E9307D"/>
    <w:rsid w:val="00EA40B7"/>
    <w:rsid w:val="00EC23BE"/>
    <w:rsid w:val="00EC7B3D"/>
    <w:rsid w:val="00EC7F9F"/>
    <w:rsid w:val="00ED3737"/>
    <w:rsid w:val="00EE166F"/>
    <w:rsid w:val="00EE7C0E"/>
    <w:rsid w:val="00EF27A5"/>
    <w:rsid w:val="00EF750B"/>
    <w:rsid w:val="00F130E0"/>
    <w:rsid w:val="00F16B8D"/>
    <w:rsid w:val="00F1747C"/>
    <w:rsid w:val="00F22EF8"/>
    <w:rsid w:val="00F3005B"/>
    <w:rsid w:val="00F33762"/>
    <w:rsid w:val="00F35D4A"/>
    <w:rsid w:val="00F37C78"/>
    <w:rsid w:val="00F4353F"/>
    <w:rsid w:val="00F44D92"/>
    <w:rsid w:val="00F50F20"/>
    <w:rsid w:val="00F636A2"/>
    <w:rsid w:val="00F75735"/>
    <w:rsid w:val="00F849C4"/>
    <w:rsid w:val="00F86DEF"/>
    <w:rsid w:val="00F91F83"/>
    <w:rsid w:val="00FA5680"/>
    <w:rsid w:val="00FA69C2"/>
    <w:rsid w:val="00FA6F9C"/>
    <w:rsid w:val="00FB0075"/>
    <w:rsid w:val="00FB0E35"/>
    <w:rsid w:val="00FB2545"/>
    <w:rsid w:val="00FB3EDB"/>
    <w:rsid w:val="00FC2411"/>
    <w:rsid w:val="00FE352A"/>
    <w:rsid w:val="00FE49C4"/>
    <w:rsid w:val="00FE7F7D"/>
    <w:rsid w:val="00FF3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4BDE73"/>
  <w15:docId w15:val="{2A43DFF3-35A5-47FA-9D61-CB445730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3DD6"/>
    <w:pPr>
      <w:keepNext/>
      <w:keepLines/>
      <w:spacing w:before="240" w:after="0"/>
      <w:outlineLvl w:val="0"/>
    </w:pPr>
    <w:rPr>
      <w:rFonts w:ascii="Arial" w:eastAsiaTheme="majorEastAsia" w:hAnsi="Arial" w:cs="Arial"/>
      <w:b/>
      <w:bCs/>
      <w:sz w:val="24"/>
      <w:szCs w:val="28"/>
    </w:rPr>
  </w:style>
  <w:style w:type="paragraph" w:styleId="Heading2">
    <w:name w:val="heading 2"/>
    <w:basedOn w:val="Normal"/>
    <w:next w:val="Normal"/>
    <w:link w:val="Heading2Char"/>
    <w:uiPriority w:val="9"/>
    <w:unhideWhenUsed/>
    <w:qFormat/>
    <w:rsid w:val="00941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37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98"/>
    <w:rPr>
      <w:rFonts w:ascii="Tahoma" w:hAnsi="Tahoma" w:cs="Tahoma"/>
      <w:sz w:val="16"/>
      <w:szCs w:val="16"/>
    </w:rPr>
  </w:style>
  <w:style w:type="paragraph" w:styleId="Header">
    <w:name w:val="header"/>
    <w:basedOn w:val="Normal"/>
    <w:link w:val="HeaderChar"/>
    <w:uiPriority w:val="99"/>
    <w:unhideWhenUsed/>
    <w:rsid w:val="00E30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BB9"/>
  </w:style>
  <w:style w:type="paragraph" w:styleId="Footer">
    <w:name w:val="footer"/>
    <w:basedOn w:val="Normal"/>
    <w:link w:val="FooterChar"/>
    <w:uiPriority w:val="99"/>
    <w:unhideWhenUsed/>
    <w:rsid w:val="00E30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BB9"/>
  </w:style>
  <w:style w:type="table" w:styleId="TableGrid">
    <w:name w:val="Table Grid"/>
    <w:basedOn w:val="TableNormal"/>
    <w:uiPriority w:val="59"/>
    <w:rsid w:val="009D4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CC6"/>
    <w:rPr>
      <w:color w:val="0000FF" w:themeColor="hyperlink"/>
      <w:u w:val="single"/>
    </w:rPr>
  </w:style>
  <w:style w:type="character" w:styleId="CommentReference">
    <w:name w:val="annotation reference"/>
    <w:basedOn w:val="DefaultParagraphFont"/>
    <w:uiPriority w:val="99"/>
    <w:semiHidden/>
    <w:unhideWhenUsed/>
    <w:rsid w:val="00CB6EEB"/>
    <w:rPr>
      <w:sz w:val="16"/>
      <w:szCs w:val="16"/>
    </w:rPr>
  </w:style>
  <w:style w:type="paragraph" w:styleId="CommentText">
    <w:name w:val="annotation text"/>
    <w:basedOn w:val="Normal"/>
    <w:link w:val="CommentTextChar"/>
    <w:uiPriority w:val="99"/>
    <w:semiHidden/>
    <w:unhideWhenUsed/>
    <w:rsid w:val="00CB6EEB"/>
    <w:pPr>
      <w:spacing w:line="240" w:lineRule="auto"/>
    </w:pPr>
    <w:rPr>
      <w:sz w:val="20"/>
      <w:szCs w:val="20"/>
    </w:rPr>
  </w:style>
  <w:style w:type="character" w:customStyle="1" w:styleId="CommentTextChar">
    <w:name w:val="Comment Text Char"/>
    <w:basedOn w:val="DefaultParagraphFont"/>
    <w:link w:val="CommentText"/>
    <w:uiPriority w:val="99"/>
    <w:semiHidden/>
    <w:rsid w:val="00CB6EEB"/>
    <w:rPr>
      <w:sz w:val="20"/>
      <w:szCs w:val="20"/>
    </w:rPr>
  </w:style>
  <w:style w:type="paragraph" w:styleId="CommentSubject">
    <w:name w:val="annotation subject"/>
    <w:basedOn w:val="CommentText"/>
    <w:next w:val="CommentText"/>
    <w:link w:val="CommentSubjectChar"/>
    <w:uiPriority w:val="99"/>
    <w:semiHidden/>
    <w:unhideWhenUsed/>
    <w:rsid w:val="00CB6EEB"/>
    <w:rPr>
      <w:b/>
      <w:bCs/>
    </w:rPr>
  </w:style>
  <w:style w:type="character" w:customStyle="1" w:styleId="CommentSubjectChar">
    <w:name w:val="Comment Subject Char"/>
    <w:basedOn w:val="CommentTextChar"/>
    <w:link w:val="CommentSubject"/>
    <w:uiPriority w:val="99"/>
    <w:semiHidden/>
    <w:rsid w:val="00CB6EEB"/>
    <w:rPr>
      <w:b/>
      <w:bCs/>
      <w:sz w:val="20"/>
      <w:szCs w:val="20"/>
    </w:rPr>
  </w:style>
  <w:style w:type="character" w:styleId="PlaceholderText">
    <w:name w:val="Placeholder Text"/>
    <w:basedOn w:val="DefaultParagraphFont"/>
    <w:uiPriority w:val="99"/>
    <w:semiHidden/>
    <w:rsid w:val="00D751A8"/>
    <w:rPr>
      <w:color w:val="808080"/>
    </w:rPr>
  </w:style>
  <w:style w:type="paragraph" w:customStyle="1" w:styleId="Default">
    <w:name w:val="Default"/>
    <w:rsid w:val="0019467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53DD6"/>
    <w:rPr>
      <w:rFonts w:ascii="Arial" w:eastAsiaTheme="majorEastAsia" w:hAnsi="Arial" w:cs="Arial"/>
      <w:b/>
      <w:bCs/>
      <w:sz w:val="24"/>
      <w:szCs w:val="28"/>
    </w:rPr>
  </w:style>
  <w:style w:type="paragraph" w:styleId="ListParagraph">
    <w:name w:val="List Paragraph"/>
    <w:basedOn w:val="Normal"/>
    <w:link w:val="ListParagraphChar"/>
    <w:uiPriority w:val="34"/>
    <w:qFormat/>
    <w:rsid w:val="00153DD6"/>
    <w:pPr>
      <w:ind w:left="720"/>
      <w:contextualSpacing/>
    </w:pPr>
  </w:style>
  <w:style w:type="character" w:customStyle="1" w:styleId="Heading3Char">
    <w:name w:val="Heading 3 Char"/>
    <w:basedOn w:val="DefaultParagraphFont"/>
    <w:link w:val="Heading3"/>
    <w:uiPriority w:val="9"/>
    <w:semiHidden/>
    <w:rsid w:val="000B376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9414A5"/>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8713CA"/>
  </w:style>
  <w:style w:type="table" w:customStyle="1" w:styleId="TableGrid1">
    <w:name w:val="Table Grid1"/>
    <w:basedOn w:val="TableNormal"/>
    <w:next w:val="TableGrid"/>
    <w:uiPriority w:val="59"/>
    <w:rsid w:val="008713CA"/>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1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237C6"/>
    <w:pPr>
      <w:spacing w:after="100"/>
    </w:pPr>
  </w:style>
  <w:style w:type="paragraph" w:styleId="TOC3">
    <w:name w:val="toc 3"/>
    <w:basedOn w:val="Normal"/>
    <w:next w:val="Normal"/>
    <w:autoRedefine/>
    <w:uiPriority w:val="39"/>
    <w:unhideWhenUsed/>
    <w:rsid w:val="00B237C6"/>
    <w:pPr>
      <w:spacing w:after="100"/>
      <w:ind w:left="440"/>
    </w:pPr>
  </w:style>
  <w:style w:type="paragraph" w:styleId="TOC2">
    <w:name w:val="toc 2"/>
    <w:basedOn w:val="Normal"/>
    <w:next w:val="Normal"/>
    <w:autoRedefine/>
    <w:uiPriority w:val="39"/>
    <w:unhideWhenUsed/>
    <w:rsid w:val="00B237C6"/>
    <w:pPr>
      <w:spacing w:after="100"/>
      <w:ind w:left="220"/>
    </w:pPr>
  </w:style>
  <w:style w:type="paragraph" w:styleId="NoSpacing">
    <w:name w:val="No Spacing"/>
    <w:uiPriority w:val="1"/>
    <w:qFormat/>
    <w:rsid w:val="00087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644433">
      <w:bodyDiv w:val="1"/>
      <w:marLeft w:val="0"/>
      <w:marRight w:val="0"/>
      <w:marTop w:val="0"/>
      <w:marBottom w:val="0"/>
      <w:divBdr>
        <w:top w:val="none" w:sz="0" w:space="0" w:color="auto"/>
        <w:left w:val="none" w:sz="0" w:space="0" w:color="auto"/>
        <w:bottom w:val="none" w:sz="0" w:space="0" w:color="auto"/>
        <w:right w:val="none" w:sz="0" w:space="0" w:color="auto"/>
      </w:divBdr>
    </w:div>
    <w:div w:id="890772367">
      <w:bodyDiv w:val="1"/>
      <w:marLeft w:val="0"/>
      <w:marRight w:val="0"/>
      <w:marTop w:val="0"/>
      <w:marBottom w:val="0"/>
      <w:divBdr>
        <w:top w:val="none" w:sz="0" w:space="0" w:color="auto"/>
        <w:left w:val="none" w:sz="0" w:space="0" w:color="auto"/>
        <w:bottom w:val="none" w:sz="0" w:space="0" w:color="auto"/>
        <w:right w:val="none" w:sz="0" w:space="0" w:color="auto"/>
      </w:divBdr>
    </w:div>
    <w:div w:id="1256551402">
      <w:bodyDiv w:val="1"/>
      <w:marLeft w:val="0"/>
      <w:marRight w:val="0"/>
      <w:marTop w:val="0"/>
      <w:marBottom w:val="0"/>
      <w:divBdr>
        <w:top w:val="none" w:sz="0" w:space="0" w:color="auto"/>
        <w:left w:val="none" w:sz="0" w:space="0" w:color="auto"/>
        <w:bottom w:val="none" w:sz="0" w:space="0" w:color="auto"/>
        <w:right w:val="none" w:sz="0" w:space="0" w:color="auto"/>
      </w:divBdr>
    </w:div>
    <w:div w:id="1600212457">
      <w:bodyDiv w:val="1"/>
      <w:marLeft w:val="0"/>
      <w:marRight w:val="0"/>
      <w:marTop w:val="0"/>
      <w:marBottom w:val="0"/>
      <w:divBdr>
        <w:top w:val="none" w:sz="0" w:space="0" w:color="auto"/>
        <w:left w:val="none" w:sz="0" w:space="0" w:color="auto"/>
        <w:bottom w:val="none" w:sz="0" w:space="0" w:color="auto"/>
        <w:right w:val="none" w:sz="0" w:space="0" w:color="auto"/>
      </w:divBdr>
    </w:div>
    <w:div w:id="16258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54355980D4A46ACE7485DAA4B7B81" ma:contentTypeVersion="0" ma:contentTypeDescription="Create a new document." ma:contentTypeScope="" ma:versionID="f6d0bbe5db5771878544649ee62f6cb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7363-F99E-4EB9-9B1C-8F23EE948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22437C-8750-460A-8873-8A832516790D}">
  <ds:schemaRefs>
    <ds:schemaRef ds:uri="http://schemas.microsoft.com/sharepoint/v3/contenttype/forms"/>
  </ds:schemaRefs>
</ds:datastoreItem>
</file>

<file path=customXml/itemProps3.xml><?xml version="1.0" encoding="utf-8"?>
<ds:datastoreItem xmlns:ds="http://schemas.openxmlformats.org/officeDocument/2006/customXml" ds:itemID="{EBA3AFCB-4532-468D-9012-2BC8E22762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82FED0F-B4AD-41CB-ABB7-8996ECE1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Carberry-Baxter, Joshua</dc:creator>
  <cp:lastModifiedBy>Susi Caesar</cp:lastModifiedBy>
  <cp:revision>2</cp:revision>
  <cp:lastPrinted>2018-04-29T21:54:00Z</cp:lastPrinted>
  <dcterms:created xsi:type="dcterms:W3CDTF">2020-02-27T15:07:00Z</dcterms:created>
  <dcterms:modified xsi:type="dcterms:W3CDTF">2020-02-27T15:07:00Z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0x0101005AB54355980D4A46ACE7485DAA4B7B81</vt:lpwstr>
  </property>
</Properties>
</file>